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DF9F0" w14:textId="77777777" w:rsidR="009A561D" w:rsidRPr="0045768F" w:rsidRDefault="009A561D" w:rsidP="00EB1E23">
      <w:pPr>
        <w:ind w:firstLine="720"/>
        <w:contextualSpacing/>
        <w:jc w:val="center"/>
        <w:rPr>
          <w:b/>
          <w:bCs/>
          <w:sz w:val="24"/>
          <w:szCs w:val="24"/>
        </w:rPr>
      </w:pPr>
      <w:r w:rsidRPr="0045768F">
        <w:rPr>
          <w:b/>
          <w:bCs/>
          <w:sz w:val="24"/>
          <w:szCs w:val="24"/>
        </w:rPr>
        <w:t>Сообщение о существенном факте</w:t>
      </w:r>
    </w:p>
    <w:p w14:paraId="1E9A3A1E" w14:textId="65320A92" w:rsidR="009A561D" w:rsidRPr="0045768F" w:rsidRDefault="009768EC" w:rsidP="009A561D">
      <w:pPr>
        <w:contextualSpacing/>
        <w:jc w:val="center"/>
        <w:rPr>
          <w:b/>
          <w:bCs/>
          <w:sz w:val="24"/>
          <w:szCs w:val="24"/>
        </w:rPr>
      </w:pPr>
      <w:r>
        <w:rPr>
          <w:b/>
          <w:bCs/>
          <w:sz w:val="24"/>
          <w:szCs w:val="24"/>
        </w:rPr>
        <w:t>«</w:t>
      </w:r>
      <w:r w:rsidR="00390EA2" w:rsidRPr="00390EA2">
        <w:rPr>
          <w:b/>
          <w:bCs/>
          <w:sz w:val="22"/>
          <w:szCs w:val="22"/>
        </w:rPr>
        <w:t>О созыве и проведении общего собрания акционеров эмитента</w:t>
      </w:r>
      <w:r>
        <w:rPr>
          <w:b/>
          <w:bCs/>
          <w:sz w:val="24"/>
          <w:szCs w:val="24"/>
        </w:rPr>
        <w:t>»</w:t>
      </w:r>
    </w:p>
    <w:tbl>
      <w:tblPr>
        <w:tblW w:w="0" w:type="auto"/>
        <w:tblLayout w:type="fixed"/>
        <w:tblCellMar>
          <w:left w:w="28" w:type="dxa"/>
          <w:right w:w="28" w:type="dxa"/>
        </w:tblCellMar>
        <w:tblLook w:val="0000" w:firstRow="0" w:lastRow="0" w:firstColumn="0" w:lastColumn="0" w:noHBand="0" w:noVBand="0"/>
      </w:tblPr>
      <w:tblGrid>
        <w:gridCol w:w="1229"/>
        <w:gridCol w:w="448"/>
        <w:gridCol w:w="293"/>
        <w:gridCol w:w="1318"/>
        <w:gridCol w:w="415"/>
        <w:gridCol w:w="307"/>
        <w:gridCol w:w="412"/>
        <w:gridCol w:w="694"/>
        <w:gridCol w:w="1289"/>
        <w:gridCol w:w="851"/>
        <w:gridCol w:w="2835"/>
        <w:gridCol w:w="142"/>
      </w:tblGrid>
      <w:tr w:rsidR="009A561D" w:rsidRPr="0045768F" w14:paraId="2725EEC2"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1DB440C8" w14:textId="77777777" w:rsidR="009A561D" w:rsidRPr="00A45FF2" w:rsidRDefault="009A561D" w:rsidP="00B72AE7">
            <w:pPr>
              <w:autoSpaceDE/>
              <w:jc w:val="center"/>
              <w:rPr>
                <w:sz w:val="24"/>
                <w:szCs w:val="24"/>
              </w:rPr>
            </w:pPr>
            <w:r w:rsidRPr="00A45FF2">
              <w:rPr>
                <w:sz w:val="24"/>
                <w:szCs w:val="24"/>
              </w:rPr>
              <w:t>1. Общие сведения</w:t>
            </w:r>
          </w:p>
        </w:tc>
      </w:tr>
      <w:tr w:rsidR="009A561D" w:rsidRPr="0045768F" w14:paraId="65DA5F5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7545417E" w14:textId="77777777" w:rsidR="009A561D" w:rsidRPr="00A45FF2" w:rsidRDefault="009A561D" w:rsidP="00B72AE7">
            <w:pPr>
              <w:ind w:left="85" w:right="85"/>
              <w:jc w:val="both"/>
              <w:rPr>
                <w:sz w:val="24"/>
                <w:szCs w:val="24"/>
              </w:rPr>
            </w:pPr>
            <w:r w:rsidRPr="00A45FF2">
              <w:rPr>
                <w:sz w:val="24"/>
                <w:szCs w:val="24"/>
              </w:rPr>
              <w:t>1.1. Полное фирменное наименование эмитента (для некоммерческой организации – наименование)</w:t>
            </w:r>
          </w:p>
        </w:tc>
        <w:tc>
          <w:tcPr>
            <w:tcW w:w="5117" w:type="dxa"/>
            <w:gridSpan w:val="4"/>
            <w:tcBorders>
              <w:top w:val="single" w:sz="2" w:space="0" w:color="000000"/>
              <w:left w:val="single" w:sz="2" w:space="0" w:color="000000"/>
              <w:bottom w:val="single" w:sz="2" w:space="0" w:color="000000"/>
              <w:right w:val="single" w:sz="2" w:space="0" w:color="000000"/>
            </w:tcBorders>
          </w:tcPr>
          <w:p w14:paraId="7CEE87BD" w14:textId="77777777" w:rsidR="009A561D" w:rsidRPr="00A45FF2" w:rsidRDefault="009A561D" w:rsidP="00B72AE7">
            <w:pPr>
              <w:autoSpaceDE/>
              <w:ind w:left="85" w:right="85"/>
              <w:jc w:val="both"/>
              <w:rPr>
                <w:sz w:val="24"/>
                <w:szCs w:val="24"/>
              </w:rPr>
            </w:pPr>
            <w:r w:rsidRPr="00A45FF2">
              <w:rPr>
                <w:sz w:val="24"/>
                <w:szCs w:val="24"/>
              </w:rPr>
              <w:t>Публичное акционерное общество энергетики и электрификации Ульяновской области «Ульяновскэнерго»</w:t>
            </w:r>
          </w:p>
        </w:tc>
      </w:tr>
      <w:tr w:rsidR="009A561D" w:rsidRPr="0045768F" w14:paraId="562966D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5893673" w14:textId="77777777" w:rsidR="009A561D" w:rsidRPr="00A45FF2" w:rsidRDefault="009A561D" w:rsidP="00B72AE7">
            <w:pPr>
              <w:ind w:left="85" w:right="85"/>
              <w:jc w:val="both"/>
              <w:rPr>
                <w:sz w:val="24"/>
                <w:szCs w:val="24"/>
              </w:rPr>
            </w:pPr>
            <w:r w:rsidRPr="00A45FF2">
              <w:rPr>
                <w:sz w:val="24"/>
                <w:szCs w:val="24"/>
              </w:rPr>
              <w:t>1.2. Сокращенное фирменное наименование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7BFA8E13"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ПАО «Ульяновскэнерго»</w:t>
            </w:r>
          </w:p>
        </w:tc>
      </w:tr>
      <w:tr w:rsidR="009A561D" w:rsidRPr="0045768F" w14:paraId="3E8672B7"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D5BFEC9" w14:textId="77777777" w:rsidR="009A561D" w:rsidRPr="00A45FF2" w:rsidRDefault="009A561D" w:rsidP="00B72AE7">
            <w:pPr>
              <w:ind w:left="85" w:right="85"/>
              <w:jc w:val="both"/>
              <w:rPr>
                <w:sz w:val="24"/>
                <w:szCs w:val="24"/>
              </w:rPr>
            </w:pPr>
            <w:r w:rsidRPr="00A45FF2">
              <w:rPr>
                <w:sz w:val="24"/>
                <w:szCs w:val="24"/>
              </w:rPr>
              <w:t>1.3. Место нахождения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1D4A17F9"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432028, г. Ульяновск, проспект 50-летия ВЛКСМ, д.23А</w:t>
            </w:r>
          </w:p>
        </w:tc>
      </w:tr>
      <w:tr w:rsidR="009A561D" w:rsidRPr="0045768F" w14:paraId="62A783CC"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6EBA65B" w14:textId="77777777" w:rsidR="009A561D" w:rsidRPr="00A45FF2" w:rsidRDefault="009A561D" w:rsidP="00B72AE7">
            <w:pPr>
              <w:ind w:left="85" w:right="85"/>
              <w:jc w:val="both"/>
              <w:rPr>
                <w:sz w:val="24"/>
                <w:szCs w:val="24"/>
              </w:rPr>
            </w:pPr>
            <w:r w:rsidRPr="00A45FF2">
              <w:rPr>
                <w:sz w:val="24"/>
                <w:szCs w:val="24"/>
              </w:rPr>
              <w:t>1.4. ОГРН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5959BCA9" w14:textId="77777777" w:rsidR="009A561D" w:rsidRPr="00A45FF2" w:rsidRDefault="009A561D" w:rsidP="00B72AE7">
            <w:pPr>
              <w:pStyle w:val="Table"/>
              <w:jc w:val="left"/>
              <w:rPr>
                <w:rFonts w:ascii="Times New Roman" w:hAnsi="Times New Roman" w:cs="Times New Roman"/>
                <w:color w:val="000000"/>
                <w:sz w:val="24"/>
                <w:szCs w:val="24"/>
              </w:rPr>
            </w:pPr>
            <w:r w:rsidRPr="00A45FF2">
              <w:rPr>
                <w:rFonts w:ascii="Times New Roman" w:hAnsi="Times New Roman" w:cs="Times New Roman"/>
                <w:color w:val="000000"/>
                <w:sz w:val="24"/>
                <w:szCs w:val="24"/>
              </w:rPr>
              <w:t>1027301482526</w:t>
            </w:r>
          </w:p>
        </w:tc>
      </w:tr>
      <w:tr w:rsidR="009A561D" w:rsidRPr="0045768F" w14:paraId="27A5A65D"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4F78123C" w14:textId="77777777" w:rsidR="009A561D" w:rsidRPr="00A45FF2" w:rsidRDefault="009A561D" w:rsidP="00B72AE7">
            <w:pPr>
              <w:ind w:left="85" w:right="85"/>
              <w:jc w:val="both"/>
              <w:rPr>
                <w:sz w:val="24"/>
                <w:szCs w:val="24"/>
              </w:rPr>
            </w:pPr>
            <w:r w:rsidRPr="00A45FF2">
              <w:rPr>
                <w:sz w:val="24"/>
                <w:szCs w:val="24"/>
              </w:rPr>
              <w:t>1.5. ИНН эмитента</w:t>
            </w:r>
          </w:p>
        </w:tc>
        <w:tc>
          <w:tcPr>
            <w:tcW w:w="5117" w:type="dxa"/>
            <w:gridSpan w:val="4"/>
            <w:tcBorders>
              <w:top w:val="single" w:sz="2" w:space="0" w:color="000000"/>
              <w:left w:val="single" w:sz="2" w:space="0" w:color="000000"/>
              <w:bottom w:val="single" w:sz="2" w:space="0" w:color="000000"/>
              <w:right w:val="single" w:sz="2" w:space="0" w:color="000000"/>
            </w:tcBorders>
          </w:tcPr>
          <w:p w14:paraId="4C605B91" w14:textId="77777777" w:rsidR="009A561D" w:rsidRPr="00A45FF2" w:rsidRDefault="009A561D" w:rsidP="00B72AE7">
            <w:pPr>
              <w:autoSpaceDE/>
              <w:rPr>
                <w:color w:val="000000"/>
                <w:sz w:val="24"/>
                <w:szCs w:val="24"/>
              </w:rPr>
            </w:pPr>
            <w:r w:rsidRPr="00A45FF2">
              <w:rPr>
                <w:color w:val="000000"/>
                <w:sz w:val="24"/>
                <w:szCs w:val="24"/>
              </w:rPr>
              <w:t>7327012462</w:t>
            </w:r>
          </w:p>
        </w:tc>
      </w:tr>
      <w:tr w:rsidR="009A561D" w:rsidRPr="0045768F" w14:paraId="774874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18EC0BB7" w14:textId="77777777" w:rsidR="009A561D" w:rsidRPr="00A45FF2" w:rsidRDefault="009A561D" w:rsidP="00B72AE7">
            <w:pPr>
              <w:ind w:left="85" w:right="85"/>
              <w:jc w:val="both"/>
              <w:rPr>
                <w:sz w:val="24"/>
                <w:szCs w:val="24"/>
              </w:rPr>
            </w:pPr>
            <w:r w:rsidRPr="00A45FF2">
              <w:rPr>
                <w:sz w:val="24"/>
                <w:szCs w:val="24"/>
              </w:rPr>
              <w:t>1.6. Уникальный код эмитента, присвоенный регистрирующим органом</w:t>
            </w:r>
          </w:p>
        </w:tc>
        <w:tc>
          <w:tcPr>
            <w:tcW w:w="5117" w:type="dxa"/>
            <w:gridSpan w:val="4"/>
            <w:tcBorders>
              <w:top w:val="single" w:sz="2" w:space="0" w:color="000000"/>
              <w:left w:val="single" w:sz="2" w:space="0" w:color="000000"/>
              <w:bottom w:val="single" w:sz="2" w:space="0" w:color="000000"/>
              <w:right w:val="single" w:sz="2" w:space="0" w:color="000000"/>
            </w:tcBorders>
          </w:tcPr>
          <w:p w14:paraId="328A1B5C" w14:textId="4BCC61E6" w:rsidR="009A561D" w:rsidRPr="00A45FF2" w:rsidRDefault="009A561D" w:rsidP="00B72AE7">
            <w:pPr>
              <w:autoSpaceDE/>
              <w:rPr>
                <w:color w:val="000000"/>
                <w:sz w:val="24"/>
                <w:szCs w:val="24"/>
              </w:rPr>
            </w:pPr>
            <w:r w:rsidRPr="00A45FF2">
              <w:rPr>
                <w:color w:val="000000"/>
                <w:sz w:val="24"/>
                <w:szCs w:val="24"/>
              </w:rPr>
              <w:t>00295</w:t>
            </w:r>
            <w:r w:rsidR="009768EC">
              <w:rPr>
                <w:color w:val="000000"/>
                <w:sz w:val="24"/>
                <w:szCs w:val="24"/>
              </w:rPr>
              <w:t>-</w:t>
            </w:r>
            <w:r w:rsidRPr="00A45FF2">
              <w:rPr>
                <w:color w:val="000000"/>
                <w:sz w:val="24"/>
                <w:szCs w:val="24"/>
              </w:rPr>
              <w:t>А</w:t>
            </w:r>
          </w:p>
        </w:tc>
      </w:tr>
      <w:tr w:rsidR="009A561D" w:rsidRPr="0045768F" w14:paraId="0886A5E1"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31B8E17D" w14:textId="77777777" w:rsidR="009A561D" w:rsidRPr="00A45FF2" w:rsidRDefault="009A561D" w:rsidP="00B72AE7">
            <w:pPr>
              <w:ind w:left="85" w:right="85"/>
              <w:jc w:val="both"/>
              <w:rPr>
                <w:sz w:val="24"/>
                <w:szCs w:val="24"/>
              </w:rPr>
            </w:pPr>
            <w:r w:rsidRPr="00A45FF2">
              <w:rPr>
                <w:sz w:val="24"/>
                <w:szCs w:val="24"/>
              </w:rPr>
              <w:t>1.7. Адрес страницы в сети Интернет, используемой эмитентом для раскрытия информации</w:t>
            </w:r>
          </w:p>
        </w:tc>
        <w:tc>
          <w:tcPr>
            <w:tcW w:w="5117" w:type="dxa"/>
            <w:gridSpan w:val="4"/>
            <w:tcBorders>
              <w:top w:val="single" w:sz="2" w:space="0" w:color="000000"/>
              <w:left w:val="single" w:sz="2" w:space="0" w:color="000000"/>
              <w:bottom w:val="single" w:sz="2" w:space="0" w:color="000000"/>
              <w:right w:val="single" w:sz="2" w:space="0" w:color="000000"/>
            </w:tcBorders>
          </w:tcPr>
          <w:p w14:paraId="1CAF34BB" w14:textId="77777777" w:rsidR="009A561D" w:rsidRPr="00A45FF2" w:rsidRDefault="009A561D" w:rsidP="00B72AE7">
            <w:pPr>
              <w:autoSpaceDE/>
              <w:rPr>
                <w:color w:val="000000"/>
                <w:sz w:val="24"/>
                <w:szCs w:val="24"/>
              </w:rPr>
            </w:pPr>
            <w:r w:rsidRPr="00A45FF2">
              <w:rPr>
                <w:sz w:val="24"/>
                <w:szCs w:val="24"/>
              </w:rPr>
              <w:t>http://www.e-disclosure.ru/portal/company.aspx?id=3624</w:t>
            </w:r>
          </w:p>
        </w:tc>
      </w:tr>
      <w:tr w:rsidR="0063717E" w:rsidRPr="0045768F" w14:paraId="2F730BBB" w14:textId="77777777" w:rsidTr="00B72AE7">
        <w:tc>
          <w:tcPr>
            <w:tcW w:w="5116" w:type="dxa"/>
            <w:gridSpan w:val="8"/>
            <w:tcBorders>
              <w:top w:val="single" w:sz="2" w:space="0" w:color="000000"/>
              <w:left w:val="single" w:sz="2" w:space="0" w:color="000000"/>
              <w:bottom w:val="single" w:sz="2" w:space="0" w:color="000000"/>
              <w:right w:val="single" w:sz="2" w:space="0" w:color="000000"/>
            </w:tcBorders>
          </w:tcPr>
          <w:p w14:paraId="0599EE0B" w14:textId="6B95D148" w:rsidR="0063717E" w:rsidRPr="00A45FF2" w:rsidRDefault="0063717E" w:rsidP="00B72AE7">
            <w:pPr>
              <w:ind w:left="85" w:right="85"/>
              <w:jc w:val="both"/>
              <w:rPr>
                <w:sz w:val="24"/>
                <w:szCs w:val="24"/>
              </w:rPr>
            </w:pPr>
            <w:r>
              <w:rPr>
                <w:sz w:val="24"/>
                <w:szCs w:val="24"/>
              </w:rPr>
              <w:t xml:space="preserve">1.8. </w:t>
            </w:r>
            <w:r w:rsidRPr="00E83642">
              <w:rPr>
                <w:sz w:val="24"/>
                <w:szCs w:val="24"/>
              </w:rPr>
              <w:t>Дата наступления события (существенного факта), о котором составлено сообщение (если применимо)</w:t>
            </w:r>
          </w:p>
        </w:tc>
        <w:tc>
          <w:tcPr>
            <w:tcW w:w="5117" w:type="dxa"/>
            <w:gridSpan w:val="4"/>
            <w:tcBorders>
              <w:top w:val="single" w:sz="2" w:space="0" w:color="000000"/>
              <w:left w:val="single" w:sz="2" w:space="0" w:color="000000"/>
              <w:bottom w:val="single" w:sz="2" w:space="0" w:color="000000"/>
              <w:right w:val="single" w:sz="2" w:space="0" w:color="000000"/>
            </w:tcBorders>
          </w:tcPr>
          <w:p w14:paraId="7D4DDF0E" w14:textId="0EEA8016" w:rsidR="0063717E" w:rsidRPr="00A45FF2" w:rsidRDefault="00DE61EE" w:rsidP="00B72AE7">
            <w:pPr>
              <w:autoSpaceDE/>
              <w:rPr>
                <w:sz w:val="24"/>
                <w:szCs w:val="24"/>
              </w:rPr>
            </w:pPr>
            <w:r>
              <w:rPr>
                <w:sz w:val="24"/>
                <w:szCs w:val="24"/>
              </w:rPr>
              <w:t>17.03.2020</w:t>
            </w:r>
          </w:p>
        </w:tc>
      </w:tr>
      <w:tr w:rsidR="009A561D" w:rsidRPr="0045768F" w14:paraId="152866F7"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30966834" w14:textId="77777777" w:rsidR="009A561D" w:rsidRPr="00A45FF2" w:rsidRDefault="009A561D" w:rsidP="00B72AE7">
            <w:pPr>
              <w:autoSpaceDE/>
              <w:jc w:val="center"/>
              <w:rPr>
                <w:sz w:val="24"/>
                <w:szCs w:val="24"/>
              </w:rPr>
            </w:pPr>
            <w:r w:rsidRPr="00A45FF2">
              <w:rPr>
                <w:sz w:val="24"/>
                <w:szCs w:val="24"/>
              </w:rPr>
              <w:t>2. Содержание сообщения</w:t>
            </w:r>
          </w:p>
        </w:tc>
      </w:tr>
      <w:tr w:rsidR="009A561D" w:rsidRPr="0045768F" w14:paraId="1106CA9E" w14:textId="77777777" w:rsidTr="00B72AE7">
        <w:tc>
          <w:tcPr>
            <w:tcW w:w="10233" w:type="dxa"/>
            <w:gridSpan w:val="12"/>
            <w:tcBorders>
              <w:top w:val="single" w:sz="2" w:space="0" w:color="000000"/>
              <w:left w:val="single" w:sz="2" w:space="0" w:color="000000"/>
              <w:bottom w:val="single" w:sz="2" w:space="0" w:color="000000"/>
              <w:right w:val="single" w:sz="2" w:space="0" w:color="000000"/>
            </w:tcBorders>
          </w:tcPr>
          <w:p w14:paraId="05D871D1" w14:textId="1129E0AA" w:rsidR="00390EA2" w:rsidRPr="005111AA" w:rsidRDefault="009A561D" w:rsidP="00390EA2">
            <w:pPr>
              <w:autoSpaceDE/>
              <w:autoSpaceDN/>
              <w:rPr>
                <w:color w:val="000000"/>
                <w:sz w:val="22"/>
                <w:szCs w:val="22"/>
                <w:shd w:val="clear" w:color="auto" w:fill="FFFFFF"/>
              </w:rPr>
            </w:pPr>
            <w:r w:rsidRPr="005111AA">
              <w:rPr>
                <w:color w:val="000000"/>
                <w:sz w:val="22"/>
                <w:szCs w:val="22"/>
                <w:shd w:val="clear" w:color="auto" w:fill="FFFFFF"/>
              </w:rPr>
              <w:t xml:space="preserve">2.1. </w:t>
            </w:r>
            <w:r w:rsidR="00390EA2" w:rsidRPr="005111AA">
              <w:rPr>
                <w:color w:val="000000"/>
                <w:sz w:val="22"/>
                <w:szCs w:val="22"/>
                <w:shd w:val="clear" w:color="auto" w:fill="FFFFFF"/>
              </w:rPr>
              <w:t xml:space="preserve">Вид общего собрания акционеров эмитента: </w:t>
            </w:r>
            <w:r w:rsidR="005111AA" w:rsidRPr="005111AA">
              <w:rPr>
                <w:color w:val="000000"/>
                <w:sz w:val="22"/>
                <w:szCs w:val="22"/>
                <w:shd w:val="clear" w:color="auto" w:fill="FFFFFF"/>
              </w:rPr>
              <w:t>годовое</w:t>
            </w:r>
            <w:r w:rsidR="00390EA2" w:rsidRPr="005111AA">
              <w:rPr>
                <w:color w:val="000000"/>
                <w:sz w:val="22"/>
                <w:szCs w:val="22"/>
                <w:shd w:val="clear" w:color="auto" w:fill="FFFFFF"/>
              </w:rPr>
              <w:t>.</w:t>
            </w:r>
          </w:p>
          <w:p w14:paraId="754F537A" w14:textId="5F5EA464" w:rsidR="00BD792F" w:rsidRPr="005111AA" w:rsidRDefault="00390EA2" w:rsidP="00390EA2">
            <w:pPr>
              <w:pStyle w:val="af2"/>
              <w:numPr>
                <w:ilvl w:val="1"/>
                <w:numId w:val="11"/>
              </w:numPr>
              <w:tabs>
                <w:tab w:val="left" w:pos="567"/>
              </w:tabs>
              <w:suppressAutoHyphens/>
              <w:autoSpaceDE/>
              <w:autoSpaceDN/>
              <w:jc w:val="both"/>
              <w:rPr>
                <w:sz w:val="22"/>
                <w:szCs w:val="22"/>
              </w:rPr>
            </w:pPr>
            <w:r w:rsidRPr="005111AA">
              <w:rPr>
                <w:sz w:val="22"/>
                <w:szCs w:val="22"/>
              </w:rPr>
              <w:t>Ф</w:t>
            </w:r>
            <w:r w:rsidR="00BD792F" w:rsidRPr="005111AA">
              <w:rPr>
                <w:sz w:val="22"/>
                <w:szCs w:val="22"/>
              </w:rPr>
              <w:t>орм</w:t>
            </w:r>
            <w:r w:rsidRPr="005111AA">
              <w:rPr>
                <w:sz w:val="22"/>
                <w:szCs w:val="22"/>
              </w:rPr>
              <w:t xml:space="preserve">а </w:t>
            </w:r>
            <w:r w:rsidR="00BD792F" w:rsidRPr="005111AA">
              <w:rPr>
                <w:sz w:val="22"/>
                <w:szCs w:val="22"/>
              </w:rPr>
              <w:t xml:space="preserve">проведения </w:t>
            </w:r>
            <w:r w:rsidRPr="005111AA">
              <w:rPr>
                <w:color w:val="000000"/>
                <w:sz w:val="22"/>
                <w:szCs w:val="22"/>
                <w:shd w:val="clear" w:color="auto" w:fill="FFFFFF"/>
              </w:rPr>
              <w:t>общего собрания акционеров эмитента</w:t>
            </w:r>
            <w:r w:rsidR="00BD792F" w:rsidRPr="005111AA">
              <w:rPr>
                <w:sz w:val="22"/>
                <w:szCs w:val="22"/>
              </w:rPr>
              <w:t>: собрание (совместное присутствие).</w:t>
            </w:r>
          </w:p>
          <w:p w14:paraId="7F427537" w14:textId="157801E6" w:rsidR="00BD792F" w:rsidRPr="005111AA" w:rsidRDefault="00390EA2" w:rsidP="00390EA2">
            <w:pPr>
              <w:tabs>
                <w:tab w:val="left" w:pos="567"/>
              </w:tabs>
              <w:suppressAutoHyphens/>
              <w:autoSpaceDE/>
              <w:autoSpaceDN/>
              <w:jc w:val="both"/>
              <w:rPr>
                <w:sz w:val="22"/>
                <w:szCs w:val="22"/>
              </w:rPr>
            </w:pPr>
            <w:r w:rsidRPr="005111AA">
              <w:rPr>
                <w:sz w:val="22"/>
                <w:szCs w:val="22"/>
              </w:rPr>
              <w:t xml:space="preserve">2.3. Дата </w:t>
            </w:r>
            <w:r w:rsidR="00BD792F" w:rsidRPr="005111AA">
              <w:rPr>
                <w:sz w:val="22"/>
                <w:szCs w:val="22"/>
              </w:rPr>
              <w:t xml:space="preserve">проведения </w:t>
            </w:r>
            <w:r w:rsidRPr="005111AA">
              <w:rPr>
                <w:color w:val="000000"/>
                <w:sz w:val="22"/>
                <w:szCs w:val="22"/>
                <w:shd w:val="clear" w:color="auto" w:fill="FFFFFF"/>
              </w:rPr>
              <w:t>общего собрания акционеров эмитента</w:t>
            </w:r>
            <w:r w:rsidR="00BD792F" w:rsidRPr="005111AA">
              <w:rPr>
                <w:sz w:val="22"/>
                <w:szCs w:val="22"/>
              </w:rPr>
              <w:t xml:space="preserve">: </w:t>
            </w:r>
            <w:r w:rsidR="005111AA" w:rsidRPr="005111AA">
              <w:rPr>
                <w:sz w:val="22"/>
                <w:szCs w:val="22"/>
              </w:rPr>
              <w:t>2</w:t>
            </w:r>
            <w:r w:rsidR="00DE61EE">
              <w:rPr>
                <w:sz w:val="22"/>
                <w:szCs w:val="22"/>
              </w:rPr>
              <w:t>3</w:t>
            </w:r>
            <w:r w:rsidR="005111AA" w:rsidRPr="005111AA">
              <w:rPr>
                <w:sz w:val="22"/>
                <w:szCs w:val="22"/>
              </w:rPr>
              <w:t xml:space="preserve"> апреля 20</w:t>
            </w:r>
            <w:r w:rsidR="00DE61EE">
              <w:rPr>
                <w:sz w:val="22"/>
                <w:szCs w:val="22"/>
              </w:rPr>
              <w:t>20</w:t>
            </w:r>
            <w:r w:rsidR="005111AA" w:rsidRPr="005111AA">
              <w:rPr>
                <w:sz w:val="22"/>
                <w:szCs w:val="22"/>
              </w:rPr>
              <w:t xml:space="preserve"> года</w:t>
            </w:r>
            <w:r w:rsidR="00BD792F" w:rsidRPr="005111AA">
              <w:rPr>
                <w:sz w:val="22"/>
                <w:szCs w:val="22"/>
              </w:rPr>
              <w:t>.</w:t>
            </w:r>
          </w:p>
          <w:p w14:paraId="3397AF99" w14:textId="246A0360" w:rsidR="00BD792F" w:rsidRPr="005111AA" w:rsidRDefault="00390EA2" w:rsidP="00390EA2">
            <w:pPr>
              <w:tabs>
                <w:tab w:val="left" w:pos="567"/>
              </w:tabs>
              <w:suppressAutoHyphens/>
              <w:autoSpaceDE/>
              <w:autoSpaceDN/>
              <w:jc w:val="both"/>
              <w:rPr>
                <w:sz w:val="22"/>
                <w:szCs w:val="22"/>
              </w:rPr>
            </w:pPr>
            <w:r w:rsidRPr="005111AA">
              <w:rPr>
                <w:sz w:val="22"/>
                <w:szCs w:val="22"/>
              </w:rPr>
              <w:t>М</w:t>
            </w:r>
            <w:r w:rsidR="00BD792F" w:rsidRPr="005111AA">
              <w:rPr>
                <w:sz w:val="22"/>
                <w:szCs w:val="22"/>
              </w:rPr>
              <w:t xml:space="preserve">есто проведения </w:t>
            </w:r>
            <w:r w:rsidRPr="005111AA">
              <w:rPr>
                <w:sz w:val="22"/>
                <w:szCs w:val="22"/>
              </w:rPr>
              <w:t>общего собрания акционеров эмитента</w:t>
            </w:r>
            <w:r w:rsidR="00BD792F" w:rsidRPr="005111AA">
              <w:rPr>
                <w:sz w:val="22"/>
                <w:szCs w:val="22"/>
              </w:rPr>
              <w:t>: 432028, г. Ульяновск, проспект 50-летия ВЛКСМ, д.23А.</w:t>
            </w:r>
          </w:p>
          <w:p w14:paraId="5D385AB8" w14:textId="6197F44E" w:rsidR="00BD792F" w:rsidRPr="005111AA" w:rsidRDefault="00390EA2" w:rsidP="003668D8">
            <w:pPr>
              <w:tabs>
                <w:tab w:val="left" w:pos="567"/>
              </w:tabs>
              <w:suppressAutoHyphens/>
              <w:autoSpaceDE/>
              <w:autoSpaceDN/>
              <w:jc w:val="both"/>
              <w:rPr>
                <w:sz w:val="22"/>
                <w:szCs w:val="22"/>
              </w:rPr>
            </w:pPr>
            <w:r w:rsidRPr="005111AA">
              <w:rPr>
                <w:sz w:val="22"/>
                <w:szCs w:val="22"/>
              </w:rPr>
              <w:t>В</w:t>
            </w:r>
            <w:r w:rsidR="00BD792F" w:rsidRPr="005111AA">
              <w:rPr>
                <w:sz w:val="22"/>
                <w:szCs w:val="22"/>
              </w:rPr>
              <w:t xml:space="preserve">ремя проведения </w:t>
            </w:r>
            <w:r w:rsidRPr="005111AA">
              <w:rPr>
                <w:sz w:val="22"/>
                <w:szCs w:val="22"/>
              </w:rPr>
              <w:t>общего собрания акционеров эмитента</w:t>
            </w:r>
            <w:r w:rsidR="00BD792F" w:rsidRPr="005111AA">
              <w:rPr>
                <w:sz w:val="22"/>
                <w:szCs w:val="22"/>
              </w:rPr>
              <w:t>: 1</w:t>
            </w:r>
            <w:r w:rsidR="009768EC">
              <w:rPr>
                <w:sz w:val="22"/>
                <w:szCs w:val="22"/>
              </w:rPr>
              <w:t>1</w:t>
            </w:r>
            <w:r w:rsidR="00BD792F" w:rsidRPr="005111AA">
              <w:rPr>
                <w:sz w:val="22"/>
                <w:szCs w:val="22"/>
              </w:rPr>
              <w:t xml:space="preserve"> часов 00 минут по местному времени.</w:t>
            </w:r>
          </w:p>
          <w:p w14:paraId="32EC876A" w14:textId="702A823C" w:rsidR="004A51F2" w:rsidRPr="005111AA" w:rsidRDefault="004A51F2" w:rsidP="004A51F2">
            <w:pPr>
              <w:tabs>
                <w:tab w:val="left" w:pos="567"/>
              </w:tabs>
              <w:suppressAutoHyphens/>
              <w:autoSpaceDE/>
              <w:autoSpaceDN/>
              <w:jc w:val="both"/>
              <w:rPr>
                <w:sz w:val="22"/>
                <w:szCs w:val="22"/>
              </w:rPr>
            </w:pPr>
            <w:r w:rsidRPr="005111AA">
              <w:rPr>
                <w:sz w:val="22"/>
                <w:szCs w:val="22"/>
              </w:rPr>
              <w:t>Почтовый адрес, по которому могут направляться заполненные бюллетени для голосования:</w:t>
            </w:r>
          </w:p>
          <w:p w14:paraId="1232D7D8" w14:textId="77777777" w:rsidR="00DE61EE" w:rsidRPr="00DE61EE" w:rsidRDefault="00DE61EE" w:rsidP="00DE61EE">
            <w:pPr>
              <w:tabs>
                <w:tab w:val="left" w:pos="1134"/>
              </w:tabs>
              <w:jc w:val="both"/>
              <w:rPr>
                <w:sz w:val="22"/>
                <w:szCs w:val="22"/>
              </w:rPr>
            </w:pPr>
            <w:r w:rsidRPr="00DE61EE">
              <w:rPr>
                <w:sz w:val="22"/>
                <w:szCs w:val="22"/>
              </w:rPr>
              <w:t>432028, г. Ульяновск, проспект 50-летия ВЛКСМ, д. 23А (ПАО «Ульяновскэнерго»)</w:t>
            </w:r>
          </w:p>
          <w:p w14:paraId="438F3C88" w14:textId="77777777" w:rsidR="00DE61EE" w:rsidRPr="00DE61EE" w:rsidRDefault="00DE61EE" w:rsidP="00DE61EE">
            <w:pPr>
              <w:tabs>
                <w:tab w:val="left" w:pos="1134"/>
              </w:tabs>
              <w:jc w:val="both"/>
              <w:rPr>
                <w:sz w:val="22"/>
                <w:szCs w:val="22"/>
                <w:lang w:val="en-US"/>
              </w:rPr>
            </w:pPr>
            <w:r w:rsidRPr="00DE61EE">
              <w:rPr>
                <w:sz w:val="22"/>
                <w:szCs w:val="22"/>
                <w:lang w:val="en-US"/>
              </w:rPr>
              <w:t>e-mail: sbyt@ulenergo.ru;</w:t>
            </w:r>
          </w:p>
          <w:p w14:paraId="6911F6AF" w14:textId="481F9A10" w:rsidR="00DE61EE" w:rsidRPr="00DE61EE" w:rsidRDefault="00DE61EE" w:rsidP="00DE61EE">
            <w:pPr>
              <w:tabs>
                <w:tab w:val="left" w:pos="1134"/>
              </w:tabs>
              <w:jc w:val="both"/>
              <w:rPr>
                <w:sz w:val="22"/>
                <w:szCs w:val="22"/>
              </w:rPr>
            </w:pPr>
            <w:r w:rsidRPr="00DE61EE">
              <w:rPr>
                <w:sz w:val="22"/>
                <w:szCs w:val="22"/>
              </w:rPr>
              <w:t>107076, Москва, ул. Стромынка, д.18, корп. 5Б (АО «НРК – Р.О.С.Т.»).</w:t>
            </w:r>
          </w:p>
          <w:p w14:paraId="55FD3263" w14:textId="2C341040" w:rsidR="00BD792F" w:rsidRPr="005111AA" w:rsidRDefault="004A51F2" w:rsidP="004A51F2">
            <w:pPr>
              <w:tabs>
                <w:tab w:val="left" w:pos="567"/>
              </w:tabs>
              <w:suppressAutoHyphens/>
              <w:autoSpaceDE/>
              <w:autoSpaceDN/>
              <w:jc w:val="both"/>
              <w:rPr>
                <w:sz w:val="22"/>
                <w:szCs w:val="22"/>
              </w:rPr>
            </w:pPr>
            <w:r w:rsidRPr="005111AA">
              <w:rPr>
                <w:sz w:val="22"/>
                <w:szCs w:val="22"/>
              </w:rPr>
              <w:t xml:space="preserve">2.4. </w:t>
            </w:r>
            <w:r w:rsidR="00390EA2" w:rsidRPr="005111AA">
              <w:rPr>
                <w:sz w:val="22"/>
                <w:szCs w:val="22"/>
              </w:rPr>
              <w:t>Вр</w:t>
            </w:r>
            <w:r w:rsidR="00BD792F" w:rsidRPr="005111AA">
              <w:rPr>
                <w:sz w:val="22"/>
                <w:szCs w:val="22"/>
              </w:rPr>
              <w:t xml:space="preserve">емя начала регистрации лиц, участвующих в </w:t>
            </w:r>
            <w:r w:rsidR="00390EA2" w:rsidRPr="005111AA">
              <w:rPr>
                <w:sz w:val="22"/>
                <w:szCs w:val="22"/>
              </w:rPr>
              <w:t>общем собрании акционеров эмитента</w:t>
            </w:r>
            <w:r w:rsidR="00BD792F" w:rsidRPr="005111AA">
              <w:rPr>
                <w:sz w:val="22"/>
                <w:szCs w:val="22"/>
              </w:rPr>
              <w:t xml:space="preserve">: </w:t>
            </w:r>
            <w:r w:rsidR="009768EC">
              <w:rPr>
                <w:sz w:val="22"/>
                <w:szCs w:val="22"/>
              </w:rPr>
              <w:t>10</w:t>
            </w:r>
            <w:r w:rsidR="00BD792F" w:rsidRPr="005111AA">
              <w:rPr>
                <w:sz w:val="22"/>
                <w:szCs w:val="22"/>
              </w:rPr>
              <w:t xml:space="preserve"> часов 00 минут по местному времени.</w:t>
            </w:r>
          </w:p>
          <w:p w14:paraId="6D82EF3B" w14:textId="0FA1913C" w:rsidR="00BD792F" w:rsidRPr="005111AA" w:rsidRDefault="004A51F2" w:rsidP="004A51F2">
            <w:pPr>
              <w:tabs>
                <w:tab w:val="left" w:pos="567"/>
              </w:tabs>
              <w:suppressAutoHyphens/>
              <w:autoSpaceDE/>
              <w:autoSpaceDN/>
              <w:jc w:val="both"/>
              <w:rPr>
                <w:sz w:val="22"/>
                <w:szCs w:val="22"/>
              </w:rPr>
            </w:pPr>
            <w:r w:rsidRPr="005111AA">
              <w:rPr>
                <w:sz w:val="22"/>
                <w:szCs w:val="22"/>
              </w:rPr>
              <w:t xml:space="preserve">2.5. </w:t>
            </w:r>
            <w:r w:rsidR="00390EA2" w:rsidRPr="005111AA">
              <w:rPr>
                <w:sz w:val="22"/>
                <w:szCs w:val="22"/>
              </w:rPr>
              <w:t>Дата</w:t>
            </w:r>
            <w:r w:rsidR="00BD792F" w:rsidRPr="005111AA">
              <w:rPr>
                <w:sz w:val="22"/>
                <w:szCs w:val="22"/>
              </w:rPr>
              <w:t xml:space="preserve"> определения (фиксации) лиц, имеющих право на участие в </w:t>
            </w:r>
            <w:r w:rsidR="00390EA2" w:rsidRPr="005111AA">
              <w:rPr>
                <w:sz w:val="22"/>
                <w:szCs w:val="22"/>
              </w:rPr>
              <w:t>общем собрании акционеров эмитента</w:t>
            </w:r>
            <w:r w:rsidR="00BD792F" w:rsidRPr="005111AA">
              <w:rPr>
                <w:sz w:val="22"/>
                <w:szCs w:val="22"/>
              </w:rPr>
              <w:t xml:space="preserve">: </w:t>
            </w:r>
            <w:r w:rsidR="00DE61EE">
              <w:rPr>
                <w:sz w:val="22"/>
                <w:szCs w:val="22"/>
              </w:rPr>
              <w:t>29</w:t>
            </w:r>
            <w:r w:rsidR="005111AA" w:rsidRPr="005111AA">
              <w:rPr>
                <w:sz w:val="22"/>
                <w:szCs w:val="22"/>
              </w:rPr>
              <w:t xml:space="preserve"> марта</w:t>
            </w:r>
            <w:r w:rsidR="00BD792F" w:rsidRPr="005111AA">
              <w:rPr>
                <w:sz w:val="22"/>
                <w:szCs w:val="22"/>
              </w:rPr>
              <w:t xml:space="preserve"> 20</w:t>
            </w:r>
            <w:r w:rsidR="00DE61EE">
              <w:rPr>
                <w:sz w:val="22"/>
                <w:szCs w:val="22"/>
              </w:rPr>
              <w:t>20</w:t>
            </w:r>
            <w:r w:rsidR="00BD792F" w:rsidRPr="005111AA">
              <w:rPr>
                <w:sz w:val="22"/>
                <w:szCs w:val="22"/>
              </w:rPr>
              <w:t xml:space="preserve"> года.</w:t>
            </w:r>
          </w:p>
          <w:p w14:paraId="25BAF259" w14:textId="585E82A9" w:rsidR="00BD792F" w:rsidRPr="005111AA" w:rsidRDefault="004A51F2" w:rsidP="004A51F2">
            <w:pPr>
              <w:tabs>
                <w:tab w:val="left" w:pos="567"/>
              </w:tabs>
              <w:suppressAutoHyphens/>
              <w:autoSpaceDE/>
              <w:autoSpaceDN/>
              <w:jc w:val="both"/>
              <w:rPr>
                <w:sz w:val="22"/>
                <w:szCs w:val="22"/>
              </w:rPr>
            </w:pPr>
            <w:r w:rsidRPr="005111AA">
              <w:rPr>
                <w:sz w:val="22"/>
                <w:szCs w:val="22"/>
              </w:rPr>
              <w:t xml:space="preserve">2.6. </w:t>
            </w:r>
            <w:r w:rsidR="00390EA2" w:rsidRPr="005111AA">
              <w:rPr>
                <w:sz w:val="22"/>
                <w:szCs w:val="22"/>
              </w:rPr>
              <w:t>Повестка</w:t>
            </w:r>
            <w:r w:rsidR="00BD792F" w:rsidRPr="005111AA">
              <w:rPr>
                <w:sz w:val="22"/>
                <w:szCs w:val="22"/>
              </w:rPr>
              <w:t xml:space="preserve"> дня </w:t>
            </w:r>
            <w:r w:rsidR="00390EA2" w:rsidRPr="005111AA">
              <w:rPr>
                <w:sz w:val="22"/>
                <w:szCs w:val="22"/>
              </w:rPr>
              <w:t>общего собрания акционеров эмитента</w:t>
            </w:r>
            <w:r w:rsidR="00BD792F" w:rsidRPr="005111AA">
              <w:rPr>
                <w:sz w:val="22"/>
                <w:szCs w:val="22"/>
              </w:rPr>
              <w:t>:</w:t>
            </w:r>
          </w:p>
          <w:p w14:paraId="6B3996D5" w14:textId="5F6FE5FF" w:rsidR="005111AA" w:rsidRPr="005111AA" w:rsidRDefault="005111AA" w:rsidP="005111AA">
            <w:pPr>
              <w:pStyle w:val="af2"/>
              <w:numPr>
                <w:ilvl w:val="0"/>
                <w:numId w:val="14"/>
              </w:numPr>
              <w:tabs>
                <w:tab w:val="left" w:pos="284"/>
              </w:tabs>
              <w:suppressAutoHyphens/>
              <w:autoSpaceDE/>
              <w:autoSpaceDN/>
              <w:ind w:left="0" w:firstLine="0"/>
              <w:jc w:val="both"/>
              <w:rPr>
                <w:sz w:val="22"/>
                <w:szCs w:val="22"/>
              </w:rPr>
            </w:pPr>
            <w:r w:rsidRPr="005111AA">
              <w:rPr>
                <w:sz w:val="22"/>
                <w:szCs w:val="22"/>
              </w:rPr>
              <w:t>Утверждение аудитора ПАО «Ульяновскэнерго»;</w:t>
            </w:r>
          </w:p>
          <w:p w14:paraId="1B5C68D6" w14:textId="72C562BB" w:rsidR="005111AA" w:rsidRPr="005111AA" w:rsidRDefault="005111AA" w:rsidP="005111AA">
            <w:pPr>
              <w:pStyle w:val="af2"/>
              <w:numPr>
                <w:ilvl w:val="0"/>
                <w:numId w:val="14"/>
              </w:numPr>
              <w:tabs>
                <w:tab w:val="left" w:pos="284"/>
              </w:tabs>
              <w:suppressAutoHyphens/>
              <w:autoSpaceDE/>
              <w:autoSpaceDN/>
              <w:ind w:left="0" w:firstLine="0"/>
              <w:jc w:val="both"/>
              <w:rPr>
                <w:sz w:val="22"/>
                <w:szCs w:val="22"/>
              </w:rPr>
            </w:pPr>
            <w:r w:rsidRPr="005111AA">
              <w:rPr>
                <w:sz w:val="22"/>
                <w:szCs w:val="22"/>
              </w:rPr>
              <w:t>Избрание членов Совета директоров ПАО «Ульяновскэнерго»;</w:t>
            </w:r>
          </w:p>
          <w:p w14:paraId="432E8C2B" w14:textId="7B50AAB5" w:rsidR="005111AA" w:rsidRPr="005111AA" w:rsidRDefault="005111AA" w:rsidP="005111AA">
            <w:pPr>
              <w:pStyle w:val="af2"/>
              <w:numPr>
                <w:ilvl w:val="0"/>
                <w:numId w:val="14"/>
              </w:numPr>
              <w:tabs>
                <w:tab w:val="left" w:pos="284"/>
              </w:tabs>
              <w:suppressAutoHyphens/>
              <w:autoSpaceDE/>
              <w:autoSpaceDN/>
              <w:ind w:left="0" w:firstLine="0"/>
              <w:jc w:val="both"/>
              <w:rPr>
                <w:sz w:val="22"/>
                <w:szCs w:val="22"/>
              </w:rPr>
            </w:pPr>
            <w:r w:rsidRPr="005111AA">
              <w:rPr>
                <w:sz w:val="22"/>
                <w:szCs w:val="22"/>
              </w:rPr>
              <w:t>Избрание членов Ревизионной комиссии ПАО «Ульяновскэнерго»;</w:t>
            </w:r>
          </w:p>
          <w:p w14:paraId="6BC430D3" w14:textId="69DE15CD" w:rsidR="005111AA" w:rsidRPr="005111AA" w:rsidRDefault="005111AA" w:rsidP="005111AA">
            <w:pPr>
              <w:pStyle w:val="af2"/>
              <w:numPr>
                <w:ilvl w:val="0"/>
                <w:numId w:val="14"/>
              </w:numPr>
              <w:tabs>
                <w:tab w:val="left" w:pos="284"/>
              </w:tabs>
              <w:suppressAutoHyphens/>
              <w:autoSpaceDE/>
              <w:autoSpaceDN/>
              <w:ind w:left="0" w:firstLine="0"/>
              <w:jc w:val="both"/>
              <w:rPr>
                <w:sz w:val="22"/>
                <w:szCs w:val="22"/>
              </w:rPr>
            </w:pPr>
            <w:r w:rsidRPr="005111AA">
              <w:rPr>
                <w:sz w:val="22"/>
                <w:szCs w:val="22"/>
              </w:rPr>
              <w:t>Утверждение годового отчета ПАО «Ульяновскэнерго» за 201</w:t>
            </w:r>
            <w:r w:rsidR="00DE61EE">
              <w:rPr>
                <w:sz w:val="22"/>
                <w:szCs w:val="22"/>
              </w:rPr>
              <w:t>9</w:t>
            </w:r>
            <w:r w:rsidRPr="005111AA">
              <w:rPr>
                <w:sz w:val="22"/>
                <w:szCs w:val="22"/>
              </w:rPr>
              <w:t xml:space="preserve"> год;</w:t>
            </w:r>
          </w:p>
          <w:p w14:paraId="6091FB5F" w14:textId="372C940A" w:rsidR="005111AA" w:rsidRPr="005111AA" w:rsidRDefault="005111AA" w:rsidP="005111AA">
            <w:pPr>
              <w:pStyle w:val="af2"/>
              <w:numPr>
                <w:ilvl w:val="0"/>
                <w:numId w:val="14"/>
              </w:numPr>
              <w:tabs>
                <w:tab w:val="left" w:pos="284"/>
              </w:tabs>
              <w:suppressAutoHyphens/>
              <w:autoSpaceDE/>
              <w:autoSpaceDN/>
              <w:ind w:left="0" w:firstLine="0"/>
              <w:jc w:val="both"/>
              <w:rPr>
                <w:sz w:val="22"/>
                <w:szCs w:val="22"/>
              </w:rPr>
            </w:pPr>
            <w:r w:rsidRPr="005111AA">
              <w:rPr>
                <w:sz w:val="22"/>
                <w:szCs w:val="22"/>
              </w:rPr>
              <w:t>Утверждение годовой бухгалтерской (финансовой) отчетности ПАО «Ульяновскэнерго» за 201</w:t>
            </w:r>
            <w:r w:rsidR="00DE61EE">
              <w:rPr>
                <w:sz w:val="22"/>
                <w:szCs w:val="22"/>
              </w:rPr>
              <w:t>9</w:t>
            </w:r>
            <w:r w:rsidRPr="005111AA">
              <w:rPr>
                <w:sz w:val="22"/>
                <w:szCs w:val="22"/>
              </w:rPr>
              <w:t xml:space="preserve"> год;</w:t>
            </w:r>
          </w:p>
          <w:p w14:paraId="5B655AEE" w14:textId="4FF5C276" w:rsidR="005111AA" w:rsidRPr="005111AA" w:rsidRDefault="005111AA" w:rsidP="005111AA">
            <w:pPr>
              <w:pStyle w:val="af2"/>
              <w:numPr>
                <w:ilvl w:val="0"/>
                <w:numId w:val="14"/>
              </w:numPr>
              <w:tabs>
                <w:tab w:val="left" w:pos="284"/>
              </w:tabs>
              <w:suppressAutoHyphens/>
              <w:autoSpaceDE/>
              <w:autoSpaceDN/>
              <w:ind w:left="0" w:firstLine="0"/>
              <w:jc w:val="both"/>
              <w:rPr>
                <w:sz w:val="22"/>
                <w:szCs w:val="22"/>
              </w:rPr>
            </w:pPr>
            <w:r w:rsidRPr="005111AA">
              <w:rPr>
                <w:sz w:val="22"/>
                <w:szCs w:val="22"/>
              </w:rPr>
              <w:t>Утверждение распределения прибыли (в том числе выплата (объявление) дивидендо</w:t>
            </w:r>
            <w:r w:rsidR="00DE61EE">
              <w:rPr>
                <w:sz w:val="22"/>
                <w:szCs w:val="22"/>
              </w:rPr>
              <w:t>в) и убытков по результатам 2019</w:t>
            </w:r>
            <w:r w:rsidRPr="005111AA">
              <w:rPr>
                <w:sz w:val="22"/>
                <w:szCs w:val="22"/>
              </w:rPr>
              <w:t xml:space="preserve"> года</w:t>
            </w:r>
            <w:r w:rsidR="000B502B">
              <w:rPr>
                <w:sz w:val="22"/>
                <w:szCs w:val="22"/>
              </w:rPr>
              <w:t>.</w:t>
            </w:r>
          </w:p>
          <w:p w14:paraId="352837E8" w14:textId="7204EBAA" w:rsidR="00DE61EE" w:rsidRPr="00CC6533" w:rsidRDefault="004A51F2" w:rsidP="00DE61EE">
            <w:pPr>
              <w:tabs>
                <w:tab w:val="left" w:pos="993"/>
                <w:tab w:val="left" w:pos="1276"/>
              </w:tabs>
              <w:jc w:val="both"/>
              <w:rPr>
                <w:sz w:val="22"/>
                <w:szCs w:val="22"/>
              </w:rPr>
            </w:pPr>
            <w:r w:rsidRPr="005111AA">
              <w:rPr>
                <w:sz w:val="22"/>
                <w:szCs w:val="22"/>
              </w:rPr>
              <w:t xml:space="preserve">2.7. </w:t>
            </w:r>
            <w:proofErr w:type="gramStart"/>
            <w:r w:rsidRPr="005111AA">
              <w:rPr>
                <w:sz w:val="22"/>
                <w:szCs w:val="22"/>
              </w:rPr>
              <w:t xml:space="preserve">С информацией (материалами), подлежащей предоставлению при подготовке к проведению общего собрания акционеров эмитента лица, имеющие право на участие </w:t>
            </w:r>
            <w:r w:rsidR="005111AA" w:rsidRPr="005111AA">
              <w:rPr>
                <w:sz w:val="22"/>
                <w:szCs w:val="22"/>
              </w:rPr>
              <w:t>в годовом</w:t>
            </w:r>
            <w:r w:rsidRPr="005111AA">
              <w:rPr>
                <w:sz w:val="22"/>
                <w:szCs w:val="22"/>
              </w:rPr>
              <w:t xml:space="preserve"> общем собрании акционеров эмитента, могут ознакомиться в период</w:t>
            </w:r>
            <w:r w:rsidR="005111AA" w:rsidRPr="005111AA">
              <w:rPr>
                <w:sz w:val="22"/>
                <w:szCs w:val="22"/>
              </w:rPr>
              <w:t xml:space="preserve"> с </w:t>
            </w:r>
            <w:r w:rsidR="00DE61EE" w:rsidRPr="00CC6533">
              <w:rPr>
                <w:sz w:val="22"/>
                <w:szCs w:val="22"/>
              </w:rPr>
              <w:t>0</w:t>
            </w:r>
            <w:r w:rsidR="00DE61EE">
              <w:rPr>
                <w:sz w:val="22"/>
                <w:szCs w:val="22"/>
              </w:rPr>
              <w:t>3</w:t>
            </w:r>
            <w:r w:rsidR="00DE61EE" w:rsidRPr="00CC6533">
              <w:rPr>
                <w:sz w:val="22"/>
                <w:szCs w:val="22"/>
              </w:rPr>
              <w:t xml:space="preserve"> апреля 20</w:t>
            </w:r>
            <w:r w:rsidR="00DE61EE">
              <w:rPr>
                <w:sz w:val="22"/>
                <w:szCs w:val="22"/>
              </w:rPr>
              <w:t>20</w:t>
            </w:r>
            <w:r w:rsidR="00DE61EE" w:rsidRPr="00CC6533">
              <w:rPr>
                <w:sz w:val="22"/>
                <w:szCs w:val="22"/>
              </w:rPr>
              <w:t xml:space="preserve"> года по </w:t>
            </w:r>
            <w:r w:rsidR="00DE61EE">
              <w:rPr>
                <w:sz w:val="22"/>
                <w:szCs w:val="22"/>
              </w:rPr>
              <w:t>22</w:t>
            </w:r>
            <w:r w:rsidR="00DE61EE" w:rsidRPr="00CC6533">
              <w:rPr>
                <w:sz w:val="22"/>
                <w:szCs w:val="22"/>
              </w:rPr>
              <w:t xml:space="preserve"> апреля 20</w:t>
            </w:r>
            <w:r w:rsidR="00DE61EE">
              <w:rPr>
                <w:sz w:val="22"/>
                <w:szCs w:val="22"/>
              </w:rPr>
              <w:t>20</w:t>
            </w:r>
            <w:r w:rsidR="00DE61EE" w:rsidRPr="00CC6533">
              <w:rPr>
                <w:sz w:val="22"/>
                <w:szCs w:val="22"/>
              </w:rPr>
              <w:t xml:space="preserve"> года, с 08 часов 00 минут до 17 часов 00 минут</w:t>
            </w:r>
            <w:r w:rsidR="00DE61EE">
              <w:rPr>
                <w:sz w:val="22"/>
                <w:szCs w:val="22"/>
              </w:rPr>
              <w:t xml:space="preserve"> (понедельник-четверг), с 08 часов 00 минут до 16 часов 00 минут (пятница</w:t>
            </w:r>
            <w:proofErr w:type="gramEnd"/>
            <w:r w:rsidR="00DE61EE">
              <w:rPr>
                <w:sz w:val="22"/>
                <w:szCs w:val="22"/>
              </w:rPr>
              <w:t>)</w:t>
            </w:r>
            <w:r w:rsidR="00DE61EE" w:rsidRPr="00CC6533">
              <w:rPr>
                <w:sz w:val="22"/>
                <w:szCs w:val="22"/>
              </w:rPr>
              <w:t xml:space="preserve"> </w:t>
            </w:r>
            <w:r w:rsidR="00DE61EE">
              <w:rPr>
                <w:sz w:val="22"/>
                <w:szCs w:val="22"/>
              </w:rPr>
              <w:t xml:space="preserve">                         </w:t>
            </w:r>
            <w:r w:rsidR="00DE61EE" w:rsidRPr="00CC6533">
              <w:rPr>
                <w:sz w:val="22"/>
                <w:szCs w:val="22"/>
              </w:rPr>
              <w:t>по следующему адресу: 432028, г. Ульяновск, проспект 50-летия ВЛКСМ, д. 23А, (ПАО «Ульяновскэ</w:t>
            </w:r>
            <w:r w:rsidR="00DE61EE">
              <w:rPr>
                <w:sz w:val="22"/>
                <w:szCs w:val="22"/>
              </w:rPr>
              <w:t>нерго»), кабинет 325, а также 23</w:t>
            </w:r>
            <w:r w:rsidR="00DE61EE" w:rsidRPr="00CC6533">
              <w:rPr>
                <w:sz w:val="22"/>
                <w:szCs w:val="22"/>
              </w:rPr>
              <w:t xml:space="preserve"> апреля 20</w:t>
            </w:r>
            <w:r w:rsidR="00DE61EE">
              <w:rPr>
                <w:sz w:val="22"/>
                <w:szCs w:val="22"/>
              </w:rPr>
              <w:t>20</w:t>
            </w:r>
            <w:r w:rsidR="00DE61EE" w:rsidRPr="00CC6533">
              <w:rPr>
                <w:sz w:val="22"/>
                <w:szCs w:val="22"/>
              </w:rPr>
              <w:t xml:space="preserve"> года (в день проведения Собрания) по месту проведения Собрания.</w:t>
            </w:r>
          </w:p>
          <w:p w14:paraId="18DA0D57" w14:textId="6C88F1AE" w:rsidR="00C122FF" w:rsidRDefault="000B502B" w:rsidP="004A51F2">
            <w:pPr>
              <w:tabs>
                <w:tab w:val="left" w:pos="567"/>
              </w:tabs>
              <w:suppressAutoHyphens/>
              <w:autoSpaceDE/>
              <w:autoSpaceDN/>
              <w:jc w:val="both"/>
              <w:rPr>
                <w:sz w:val="22"/>
                <w:szCs w:val="22"/>
              </w:rPr>
            </w:pPr>
            <w:r>
              <w:rPr>
                <w:sz w:val="22"/>
                <w:szCs w:val="22"/>
              </w:rPr>
              <w:t>2.8. Р</w:t>
            </w:r>
            <w:r w:rsidRPr="000B502B">
              <w:rPr>
                <w:sz w:val="22"/>
                <w:szCs w:val="22"/>
              </w:rPr>
              <w:t>ешение о созыве общего собрания акционеров эмитента</w:t>
            </w:r>
            <w:r>
              <w:rPr>
                <w:sz w:val="22"/>
                <w:szCs w:val="22"/>
              </w:rPr>
              <w:t xml:space="preserve"> принято советом директоров </w:t>
            </w:r>
            <w:r w:rsidR="00944115">
              <w:rPr>
                <w:sz w:val="22"/>
                <w:szCs w:val="22"/>
              </w:rPr>
              <w:t>ПАО «</w:t>
            </w:r>
            <w:r>
              <w:rPr>
                <w:sz w:val="22"/>
                <w:szCs w:val="22"/>
              </w:rPr>
              <w:t>Ульяновскэнерго</w:t>
            </w:r>
            <w:r w:rsidR="00944115">
              <w:rPr>
                <w:sz w:val="22"/>
                <w:szCs w:val="22"/>
              </w:rPr>
              <w:t>»</w:t>
            </w:r>
            <w:r w:rsidR="00DE61EE">
              <w:rPr>
                <w:sz w:val="22"/>
                <w:szCs w:val="22"/>
              </w:rPr>
              <w:t xml:space="preserve"> 17</w:t>
            </w:r>
            <w:r w:rsidR="00C122FF">
              <w:rPr>
                <w:sz w:val="22"/>
                <w:szCs w:val="22"/>
              </w:rPr>
              <w:t xml:space="preserve"> марта 20</w:t>
            </w:r>
            <w:r w:rsidR="00DE61EE">
              <w:rPr>
                <w:sz w:val="22"/>
                <w:szCs w:val="22"/>
              </w:rPr>
              <w:t>20</w:t>
            </w:r>
            <w:r w:rsidR="00C122FF">
              <w:rPr>
                <w:sz w:val="22"/>
                <w:szCs w:val="22"/>
              </w:rPr>
              <w:t xml:space="preserve"> года.</w:t>
            </w:r>
            <w:r w:rsidR="00C122FF">
              <w:t xml:space="preserve"> </w:t>
            </w:r>
            <w:proofErr w:type="gramStart"/>
            <w:r w:rsidR="00C122FF" w:rsidRPr="00C122FF">
              <w:rPr>
                <w:sz w:val="22"/>
                <w:szCs w:val="22"/>
              </w:rPr>
              <w:t xml:space="preserve">Дата составления и номер протокола собрания (заседания) уполномоченного органа управления эмитента, на котором принято решение о дате, на которую </w:t>
            </w:r>
            <w:r w:rsidR="00C122FF" w:rsidRPr="00C122FF">
              <w:rPr>
                <w:sz w:val="22"/>
                <w:szCs w:val="22"/>
              </w:rPr>
              <w:lastRenderedPageBreak/>
              <w:t>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proofErr w:type="gramEnd"/>
            <w:r w:rsidR="00C122FF" w:rsidRPr="00C122FF">
              <w:rPr>
                <w:sz w:val="22"/>
                <w:szCs w:val="22"/>
              </w:rPr>
              <w:t xml:space="preserve"> Протокол заседания совета директоров ПАО «Ульяновскэнерго»</w:t>
            </w:r>
            <w:r w:rsidR="00DE61EE">
              <w:rPr>
                <w:sz w:val="22"/>
                <w:szCs w:val="22"/>
              </w:rPr>
              <w:t xml:space="preserve"> № 4 от 17</w:t>
            </w:r>
            <w:r w:rsidR="00C122FF" w:rsidRPr="00C122FF">
              <w:rPr>
                <w:sz w:val="22"/>
                <w:szCs w:val="22"/>
              </w:rPr>
              <w:t>.03.20</w:t>
            </w:r>
            <w:r w:rsidR="00DE61EE">
              <w:rPr>
                <w:sz w:val="22"/>
                <w:szCs w:val="22"/>
              </w:rPr>
              <w:t>20</w:t>
            </w:r>
            <w:r w:rsidR="00C122FF" w:rsidRPr="00C122FF">
              <w:rPr>
                <w:sz w:val="22"/>
                <w:szCs w:val="22"/>
              </w:rPr>
              <w:t>.</w:t>
            </w:r>
          </w:p>
          <w:p w14:paraId="3EF9D255" w14:textId="63BCDC63" w:rsidR="009A561D" w:rsidRPr="005111AA" w:rsidRDefault="009A561D" w:rsidP="004A51F2">
            <w:pPr>
              <w:tabs>
                <w:tab w:val="left" w:pos="567"/>
              </w:tabs>
              <w:suppressAutoHyphens/>
              <w:autoSpaceDE/>
              <w:autoSpaceDN/>
              <w:jc w:val="both"/>
              <w:rPr>
                <w:sz w:val="22"/>
                <w:szCs w:val="22"/>
              </w:rPr>
            </w:pPr>
            <w:r w:rsidRPr="005111AA">
              <w:rPr>
                <w:iCs/>
                <w:sz w:val="22"/>
                <w:szCs w:val="22"/>
              </w:rPr>
              <w:t>2.</w:t>
            </w:r>
            <w:r w:rsidR="000B502B">
              <w:rPr>
                <w:iCs/>
                <w:sz w:val="22"/>
                <w:szCs w:val="22"/>
              </w:rPr>
              <w:t>9</w:t>
            </w:r>
            <w:r w:rsidRPr="005111AA">
              <w:rPr>
                <w:iCs/>
                <w:sz w:val="22"/>
                <w:szCs w:val="22"/>
              </w:rPr>
              <w:t xml:space="preserve">. </w:t>
            </w:r>
            <w:r w:rsidR="00AD60B0" w:rsidRPr="005111AA">
              <w:rPr>
                <w:iCs/>
                <w:sz w:val="22"/>
                <w:szCs w:val="22"/>
              </w:rPr>
              <w:t xml:space="preserve">Идентификационные признаки акций, владельцы которых имеют право на участие в общем собрании акционеров: акции обыкновенные именные бездокументарные (номер государственной регистрации </w:t>
            </w:r>
            <w:r w:rsidR="00944115">
              <w:rPr>
                <w:iCs/>
                <w:sz w:val="22"/>
                <w:szCs w:val="22"/>
              </w:rPr>
              <w:t xml:space="preserve">                      </w:t>
            </w:r>
            <w:bookmarkStart w:id="0" w:name="_GoBack"/>
            <w:bookmarkEnd w:id="0"/>
            <w:r w:rsidR="00AD60B0" w:rsidRPr="005111AA">
              <w:rPr>
                <w:iCs/>
                <w:sz w:val="22"/>
                <w:szCs w:val="22"/>
              </w:rPr>
              <w:t>1-02-00295-А, дата государственной регистрации выпуска (дополнительного выпуска) ценных бумаг 26 октября 2006 г.) и акции именные бездокументарные привилегированные типа</w:t>
            </w:r>
            <w:proofErr w:type="gramStart"/>
            <w:r w:rsidR="00AD60B0" w:rsidRPr="005111AA">
              <w:rPr>
                <w:iCs/>
                <w:sz w:val="22"/>
                <w:szCs w:val="22"/>
              </w:rPr>
              <w:t xml:space="preserve"> А</w:t>
            </w:r>
            <w:proofErr w:type="gramEnd"/>
            <w:r w:rsidR="00AD60B0" w:rsidRPr="005111AA">
              <w:rPr>
                <w:iCs/>
                <w:sz w:val="22"/>
                <w:szCs w:val="22"/>
              </w:rPr>
              <w:t xml:space="preserve"> (номер государственной регистрации 2-02-00295-А, дата государственной регистрации выпуска (дополнительного выпуска) ценных бумаг 26 октября 2006 г.).</w:t>
            </w:r>
          </w:p>
        </w:tc>
      </w:tr>
      <w:tr w:rsidR="009A561D" w:rsidRPr="0045768F" w14:paraId="7646CF98" w14:textId="77777777" w:rsidTr="00B72AE7">
        <w:trPr>
          <w:cantSplit/>
        </w:trPr>
        <w:tc>
          <w:tcPr>
            <w:tcW w:w="10233" w:type="dxa"/>
            <w:gridSpan w:val="12"/>
            <w:tcBorders>
              <w:top w:val="single" w:sz="2" w:space="0" w:color="000000"/>
              <w:left w:val="single" w:sz="2" w:space="0" w:color="000000"/>
              <w:bottom w:val="single" w:sz="2" w:space="0" w:color="000000"/>
              <w:right w:val="single" w:sz="2" w:space="0" w:color="000000"/>
            </w:tcBorders>
          </w:tcPr>
          <w:p w14:paraId="4C97CAAB" w14:textId="77777777" w:rsidR="009A561D" w:rsidRPr="00A45FF2" w:rsidRDefault="009A561D" w:rsidP="00B72AE7">
            <w:pPr>
              <w:autoSpaceDE/>
              <w:jc w:val="center"/>
              <w:rPr>
                <w:sz w:val="24"/>
                <w:szCs w:val="24"/>
              </w:rPr>
            </w:pPr>
            <w:r w:rsidRPr="00A45FF2">
              <w:rPr>
                <w:sz w:val="24"/>
                <w:szCs w:val="24"/>
              </w:rPr>
              <w:lastRenderedPageBreak/>
              <w:t>3. Подпись</w:t>
            </w:r>
          </w:p>
        </w:tc>
      </w:tr>
      <w:tr w:rsidR="009A561D" w:rsidRPr="0045768F" w14:paraId="33ECF12E" w14:textId="77777777" w:rsidTr="00B72AE7">
        <w:trPr>
          <w:cantSplit/>
        </w:trPr>
        <w:tc>
          <w:tcPr>
            <w:tcW w:w="4422" w:type="dxa"/>
            <w:gridSpan w:val="7"/>
            <w:tcBorders>
              <w:top w:val="single" w:sz="2" w:space="0" w:color="000000"/>
              <w:left w:val="single" w:sz="2" w:space="0" w:color="000000"/>
              <w:bottom w:val="nil"/>
              <w:right w:val="nil"/>
            </w:tcBorders>
            <w:vAlign w:val="bottom"/>
          </w:tcPr>
          <w:p w14:paraId="5B039F23" w14:textId="77777777" w:rsidR="009A561D" w:rsidRPr="00A45FF2" w:rsidRDefault="009A561D" w:rsidP="00B72AE7">
            <w:pPr>
              <w:ind w:left="57"/>
              <w:rPr>
                <w:sz w:val="24"/>
                <w:szCs w:val="24"/>
              </w:rPr>
            </w:pPr>
            <w:r w:rsidRPr="00A45FF2">
              <w:rPr>
                <w:sz w:val="24"/>
                <w:szCs w:val="24"/>
              </w:rPr>
              <w:t>3.1. Генеральный директор</w:t>
            </w:r>
          </w:p>
        </w:tc>
        <w:tc>
          <w:tcPr>
            <w:tcW w:w="1983" w:type="dxa"/>
            <w:gridSpan w:val="2"/>
            <w:tcBorders>
              <w:top w:val="single" w:sz="2" w:space="0" w:color="000000"/>
              <w:left w:val="nil"/>
              <w:bottom w:val="single" w:sz="2" w:space="0" w:color="000000"/>
              <w:right w:val="nil"/>
            </w:tcBorders>
            <w:vAlign w:val="bottom"/>
          </w:tcPr>
          <w:p w14:paraId="34FCE5D2" w14:textId="77777777" w:rsidR="009A561D" w:rsidRPr="00A45FF2" w:rsidRDefault="009A561D" w:rsidP="00B72AE7">
            <w:pPr>
              <w:jc w:val="center"/>
              <w:rPr>
                <w:sz w:val="24"/>
                <w:szCs w:val="24"/>
              </w:rPr>
            </w:pPr>
          </w:p>
        </w:tc>
        <w:tc>
          <w:tcPr>
            <w:tcW w:w="851" w:type="dxa"/>
            <w:tcBorders>
              <w:top w:val="single" w:sz="2" w:space="0" w:color="000000"/>
              <w:left w:val="nil"/>
              <w:bottom w:val="nil"/>
              <w:right w:val="nil"/>
            </w:tcBorders>
            <w:vAlign w:val="bottom"/>
          </w:tcPr>
          <w:p w14:paraId="6509768A" w14:textId="77777777" w:rsidR="009A561D" w:rsidRPr="00A45FF2" w:rsidRDefault="009A561D" w:rsidP="00B72AE7">
            <w:pPr>
              <w:rPr>
                <w:sz w:val="24"/>
                <w:szCs w:val="24"/>
              </w:rPr>
            </w:pPr>
          </w:p>
        </w:tc>
        <w:tc>
          <w:tcPr>
            <w:tcW w:w="2835" w:type="dxa"/>
            <w:tcBorders>
              <w:top w:val="single" w:sz="2" w:space="0" w:color="000000"/>
              <w:left w:val="nil"/>
              <w:bottom w:val="nil"/>
              <w:right w:val="nil"/>
            </w:tcBorders>
            <w:vAlign w:val="bottom"/>
          </w:tcPr>
          <w:p w14:paraId="37157063" w14:textId="77777777" w:rsidR="009A561D" w:rsidRPr="00A45FF2" w:rsidRDefault="009A561D" w:rsidP="00B72AE7">
            <w:pPr>
              <w:jc w:val="center"/>
              <w:rPr>
                <w:sz w:val="24"/>
                <w:szCs w:val="24"/>
              </w:rPr>
            </w:pPr>
            <w:r w:rsidRPr="00C546DD">
              <w:rPr>
                <w:sz w:val="24"/>
                <w:szCs w:val="24"/>
              </w:rPr>
              <w:t xml:space="preserve">Ю.Г. </w:t>
            </w:r>
            <w:r>
              <w:rPr>
                <w:sz w:val="24"/>
                <w:szCs w:val="24"/>
              </w:rPr>
              <w:t>Осипенко</w:t>
            </w:r>
          </w:p>
        </w:tc>
        <w:tc>
          <w:tcPr>
            <w:tcW w:w="142" w:type="dxa"/>
            <w:tcBorders>
              <w:top w:val="single" w:sz="2" w:space="0" w:color="000000"/>
              <w:left w:val="nil"/>
              <w:bottom w:val="nil"/>
              <w:right w:val="single" w:sz="2" w:space="0" w:color="000000"/>
            </w:tcBorders>
            <w:vAlign w:val="bottom"/>
          </w:tcPr>
          <w:p w14:paraId="4C856127" w14:textId="77777777" w:rsidR="009A561D" w:rsidRPr="00A45FF2" w:rsidRDefault="009A561D" w:rsidP="00B72AE7">
            <w:pPr>
              <w:autoSpaceDE/>
              <w:rPr>
                <w:sz w:val="24"/>
                <w:szCs w:val="24"/>
              </w:rPr>
            </w:pPr>
          </w:p>
        </w:tc>
      </w:tr>
      <w:tr w:rsidR="009A561D" w:rsidRPr="0045768F" w14:paraId="758BC3EB" w14:textId="77777777" w:rsidTr="00B72AE7">
        <w:trPr>
          <w:cantSplit/>
          <w:trHeight w:hRule="exact" w:val="280"/>
        </w:trPr>
        <w:tc>
          <w:tcPr>
            <w:tcW w:w="4422" w:type="dxa"/>
            <w:gridSpan w:val="7"/>
            <w:tcBorders>
              <w:top w:val="nil"/>
              <w:left w:val="single" w:sz="2" w:space="0" w:color="000000"/>
              <w:bottom w:val="nil"/>
              <w:right w:val="nil"/>
            </w:tcBorders>
          </w:tcPr>
          <w:p w14:paraId="23ED4DA6" w14:textId="77777777" w:rsidR="009A561D" w:rsidRPr="00A45FF2" w:rsidRDefault="009A561D" w:rsidP="00B72AE7">
            <w:pPr>
              <w:ind w:left="57"/>
              <w:rPr>
                <w:sz w:val="24"/>
                <w:szCs w:val="24"/>
              </w:rPr>
            </w:pPr>
          </w:p>
        </w:tc>
        <w:tc>
          <w:tcPr>
            <w:tcW w:w="1983" w:type="dxa"/>
            <w:gridSpan w:val="2"/>
            <w:tcBorders>
              <w:top w:val="nil"/>
              <w:left w:val="nil"/>
              <w:bottom w:val="nil"/>
              <w:right w:val="nil"/>
            </w:tcBorders>
          </w:tcPr>
          <w:p w14:paraId="61C8AE46" w14:textId="77777777" w:rsidR="009A561D" w:rsidRPr="00A45FF2" w:rsidRDefault="009A561D" w:rsidP="00B72AE7">
            <w:pPr>
              <w:jc w:val="center"/>
              <w:rPr>
                <w:sz w:val="24"/>
                <w:szCs w:val="24"/>
              </w:rPr>
            </w:pPr>
            <w:r w:rsidRPr="00A45FF2">
              <w:rPr>
                <w:sz w:val="24"/>
                <w:szCs w:val="24"/>
              </w:rPr>
              <w:t>(подпись)</w:t>
            </w:r>
          </w:p>
        </w:tc>
        <w:tc>
          <w:tcPr>
            <w:tcW w:w="851" w:type="dxa"/>
            <w:tcBorders>
              <w:top w:val="nil"/>
              <w:left w:val="nil"/>
              <w:bottom w:val="nil"/>
              <w:right w:val="nil"/>
            </w:tcBorders>
          </w:tcPr>
          <w:p w14:paraId="6AD28C84" w14:textId="77777777" w:rsidR="009A561D" w:rsidRPr="00A45FF2" w:rsidRDefault="009A561D" w:rsidP="00B72AE7">
            <w:pPr>
              <w:rPr>
                <w:sz w:val="24"/>
                <w:szCs w:val="24"/>
              </w:rPr>
            </w:pPr>
          </w:p>
        </w:tc>
        <w:tc>
          <w:tcPr>
            <w:tcW w:w="2835" w:type="dxa"/>
            <w:tcBorders>
              <w:top w:val="nil"/>
              <w:left w:val="nil"/>
              <w:bottom w:val="nil"/>
              <w:right w:val="nil"/>
            </w:tcBorders>
          </w:tcPr>
          <w:p w14:paraId="2A65A308" w14:textId="77777777" w:rsidR="009A561D" w:rsidRPr="00A45FF2" w:rsidRDefault="009A561D" w:rsidP="00B72AE7">
            <w:pPr>
              <w:rPr>
                <w:sz w:val="24"/>
                <w:szCs w:val="24"/>
              </w:rPr>
            </w:pPr>
          </w:p>
        </w:tc>
        <w:tc>
          <w:tcPr>
            <w:tcW w:w="142" w:type="dxa"/>
            <w:tcBorders>
              <w:top w:val="nil"/>
              <w:left w:val="nil"/>
              <w:bottom w:val="nil"/>
              <w:right w:val="single" w:sz="2" w:space="0" w:color="000000"/>
            </w:tcBorders>
          </w:tcPr>
          <w:p w14:paraId="182C4625" w14:textId="77777777" w:rsidR="009A561D" w:rsidRPr="00A45FF2" w:rsidRDefault="009A561D" w:rsidP="00B72AE7">
            <w:pPr>
              <w:autoSpaceDE/>
              <w:rPr>
                <w:sz w:val="24"/>
                <w:szCs w:val="24"/>
              </w:rPr>
            </w:pPr>
          </w:p>
        </w:tc>
      </w:tr>
      <w:tr w:rsidR="009A561D" w:rsidRPr="0045768F" w14:paraId="6B8BCADA" w14:textId="77777777" w:rsidTr="00B72AE7">
        <w:trPr>
          <w:cantSplit/>
        </w:trPr>
        <w:tc>
          <w:tcPr>
            <w:tcW w:w="1229" w:type="dxa"/>
            <w:tcBorders>
              <w:top w:val="nil"/>
              <w:left w:val="single" w:sz="2" w:space="0" w:color="000000"/>
              <w:bottom w:val="nil"/>
              <w:right w:val="nil"/>
            </w:tcBorders>
            <w:vAlign w:val="bottom"/>
          </w:tcPr>
          <w:p w14:paraId="0DE7FD58" w14:textId="77777777" w:rsidR="009A561D" w:rsidRPr="00A45FF2" w:rsidRDefault="009A561D" w:rsidP="00B72AE7">
            <w:pPr>
              <w:ind w:left="57"/>
              <w:rPr>
                <w:sz w:val="24"/>
                <w:szCs w:val="24"/>
              </w:rPr>
            </w:pPr>
            <w:r w:rsidRPr="00A45FF2">
              <w:rPr>
                <w:sz w:val="24"/>
                <w:szCs w:val="24"/>
              </w:rPr>
              <w:t>3.2. Дата “</w:t>
            </w:r>
          </w:p>
        </w:tc>
        <w:tc>
          <w:tcPr>
            <w:tcW w:w="448" w:type="dxa"/>
            <w:tcBorders>
              <w:top w:val="nil"/>
              <w:left w:val="nil"/>
              <w:bottom w:val="single" w:sz="2" w:space="0" w:color="000000"/>
              <w:right w:val="nil"/>
            </w:tcBorders>
            <w:vAlign w:val="bottom"/>
          </w:tcPr>
          <w:p w14:paraId="17EECCE6" w14:textId="36290150" w:rsidR="009A561D" w:rsidRPr="0047188D" w:rsidRDefault="005111AA" w:rsidP="0063717E">
            <w:pPr>
              <w:jc w:val="center"/>
              <w:rPr>
                <w:sz w:val="24"/>
                <w:szCs w:val="24"/>
                <w:lang w:val="en-US"/>
              </w:rPr>
            </w:pPr>
            <w:r>
              <w:rPr>
                <w:sz w:val="24"/>
                <w:szCs w:val="24"/>
              </w:rPr>
              <w:t>1</w:t>
            </w:r>
            <w:r w:rsidR="00DE61EE">
              <w:rPr>
                <w:sz w:val="24"/>
                <w:szCs w:val="24"/>
              </w:rPr>
              <w:t>7</w:t>
            </w:r>
          </w:p>
        </w:tc>
        <w:tc>
          <w:tcPr>
            <w:tcW w:w="293" w:type="dxa"/>
            <w:tcBorders>
              <w:top w:val="nil"/>
              <w:left w:val="nil"/>
              <w:bottom w:val="nil"/>
              <w:right w:val="nil"/>
            </w:tcBorders>
            <w:vAlign w:val="bottom"/>
          </w:tcPr>
          <w:p w14:paraId="3F37424F" w14:textId="77777777" w:rsidR="009A561D" w:rsidRPr="00A45FF2" w:rsidRDefault="009A561D" w:rsidP="00B72AE7">
            <w:pPr>
              <w:rPr>
                <w:sz w:val="24"/>
                <w:szCs w:val="24"/>
              </w:rPr>
            </w:pPr>
            <w:r w:rsidRPr="00A45FF2">
              <w:rPr>
                <w:sz w:val="24"/>
                <w:szCs w:val="24"/>
              </w:rPr>
              <w:t>”</w:t>
            </w:r>
          </w:p>
        </w:tc>
        <w:tc>
          <w:tcPr>
            <w:tcW w:w="1318" w:type="dxa"/>
            <w:tcBorders>
              <w:top w:val="nil"/>
              <w:left w:val="nil"/>
              <w:bottom w:val="single" w:sz="2" w:space="0" w:color="000000"/>
              <w:right w:val="nil"/>
            </w:tcBorders>
            <w:vAlign w:val="bottom"/>
          </w:tcPr>
          <w:p w14:paraId="45F7B7BA" w14:textId="337614BF" w:rsidR="009A561D" w:rsidRPr="0047188D" w:rsidRDefault="005111AA" w:rsidP="00B72AE7">
            <w:pPr>
              <w:jc w:val="center"/>
              <w:rPr>
                <w:sz w:val="24"/>
                <w:szCs w:val="24"/>
              </w:rPr>
            </w:pPr>
            <w:r>
              <w:rPr>
                <w:sz w:val="24"/>
                <w:szCs w:val="24"/>
              </w:rPr>
              <w:t>марта</w:t>
            </w:r>
          </w:p>
        </w:tc>
        <w:tc>
          <w:tcPr>
            <w:tcW w:w="415" w:type="dxa"/>
            <w:tcBorders>
              <w:top w:val="nil"/>
              <w:left w:val="nil"/>
              <w:bottom w:val="nil"/>
              <w:right w:val="nil"/>
            </w:tcBorders>
            <w:vAlign w:val="bottom"/>
          </w:tcPr>
          <w:p w14:paraId="4B502B0B" w14:textId="77777777" w:rsidR="009A561D" w:rsidRPr="00A45FF2" w:rsidRDefault="009A561D" w:rsidP="00B72AE7">
            <w:pPr>
              <w:jc w:val="right"/>
              <w:rPr>
                <w:sz w:val="24"/>
                <w:szCs w:val="24"/>
              </w:rPr>
            </w:pPr>
            <w:r w:rsidRPr="00A45FF2">
              <w:rPr>
                <w:sz w:val="24"/>
                <w:szCs w:val="24"/>
              </w:rPr>
              <w:t>20</w:t>
            </w:r>
          </w:p>
        </w:tc>
        <w:tc>
          <w:tcPr>
            <w:tcW w:w="307" w:type="dxa"/>
            <w:tcBorders>
              <w:top w:val="nil"/>
              <w:left w:val="nil"/>
              <w:bottom w:val="single" w:sz="2" w:space="0" w:color="000000"/>
              <w:right w:val="nil"/>
            </w:tcBorders>
            <w:vAlign w:val="bottom"/>
          </w:tcPr>
          <w:p w14:paraId="5D9021FB" w14:textId="0C1B55FD" w:rsidR="009A561D" w:rsidRPr="00A45FF2" w:rsidRDefault="00DE61EE" w:rsidP="009768EC">
            <w:pPr>
              <w:rPr>
                <w:sz w:val="24"/>
                <w:szCs w:val="24"/>
              </w:rPr>
            </w:pPr>
            <w:r>
              <w:rPr>
                <w:sz w:val="24"/>
                <w:szCs w:val="24"/>
              </w:rPr>
              <w:t>20</w:t>
            </w:r>
          </w:p>
        </w:tc>
        <w:tc>
          <w:tcPr>
            <w:tcW w:w="412" w:type="dxa"/>
            <w:tcBorders>
              <w:top w:val="nil"/>
              <w:left w:val="nil"/>
              <w:bottom w:val="nil"/>
              <w:right w:val="nil"/>
            </w:tcBorders>
            <w:vAlign w:val="bottom"/>
          </w:tcPr>
          <w:p w14:paraId="7D7483FB" w14:textId="77777777" w:rsidR="009A561D" w:rsidRPr="00A45FF2" w:rsidRDefault="009A561D" w:rsidP="00B72AE7">
            <w:pPr>
              <w:ind w:left="57"/>
              <w:rPr>
                <w:sz w:val="24"/>
                <w:szCs w:val="24"/>
              </w:rPr>
            </w:pPr>
            <w:proofErr w:type="gramStart"/>
            <w:r w:rsidRPr="00A45FF2">
              <w:rPr>
                <w:sz w:val="24"/>
                <w:szCs w:val="24"/>
              </w:rPr>
              <w:t>г</w:t>
            </w:r>
            <w:proofErr w:type="gramEnd"/>
            <w:r w:rsidRPr="00A45FF2">
              <w:rPr>
                <w:sz w:val="24"/>
                <w:szCs w:val="24"/>
              </w:rPr>
              <w:t>.</w:t>
            </w:r>
          </w:p>
        </w:tc>
        <w:tc>
          <w:tcPr>
            <w:tcW w:w="1983" w:type="dxa"/>
            <w:gridSpan w:val="2"/>
            <w:tcBorders>
              <w:top w:val="nil"/>
              <w:left w:val="nil"/>
              <w:bottom w:val="nil"/>
              <w:right w:val="nil"/>
            </w:tcBorders>
            <w:vAlign w:val="bottom"/>
          </w:tcPr>
          <w:p w14:paraId="79F8204D" w14:textId="77777777" w:rsidR="009A561D" w:rsidRPr="00A45FF2" w:rsidRDefault="009A561D" w:rsidP="00B72AE7">
            <w:pPr>
              <w:jc w:val="center"/>
              <w:rPr>
                <w:sz w:val="24"/>
                <w:szCs w:val="24"/>
              </w:rPr>
            </w:pPr>
            <w:r w:rsidRPr="00A45FF2">
              <w:rPr>
                <w:sz w:val="24"/>
                <w:szCs w:val="24"/>
              </w:rPr>
              <w:t>М.П.</w:t>
            </w:r>
          </w:p>
        </w:tc>
        <w:tc>
          <w:tcPr>
            <w:tcW w:w="3828" w:type="dxa"/>
            <w:gridSpan w:val="3"/>
            <w:tcBorders>
              <w:top w:val="nil"/>
              <w:left w:val="nil"/>
              <w:bottom w:val="nil"/>
              <w:right w:val="single" w:sz="2" w:space="0" w:color="000000"/>
            </w:tcBorders>
            <w:vAlign w:val="bottom"/>
          </w:tcPr>
          <w:p w14:paraId="3EFC2E5F" w14:textId="77777777" w:rsidR="009A561D" w:rsidRPr="00A45FF2" w:rsidRDefault="009A561D" w:rsidP="00B72AE7">
            <w:pPr>
              <w:autoSpaceDE/>
              <w:rPr>
                <w:sz w:val="24"/>
                <w:szCs w:val="24"/>
              </w:rPr>
            </w:pPr>
          </w:p>
        </w:tc>
      </w:tr>
      <w:tr w:rsidR="009A561D" w:rsidRPr="0045768F" w14:paraId="2CED3A73" w14:textId="77777777" w:rsidTr="00B72AE7">
        <w:trPr>
          <w:cantSplit/>
        </w:trPr>
        <w:tc>
          <w:tcPr>
            <w:tcW w:w="4422" w:type="dxa"/>
            <w:gridSpan w:val="7"/>
            <w:tcBorders>
              <w:top w:val="nil"/>
              <w:left w:val="single" w:sz="2" w:space="0" w:color="000000"/>
              <w:bottom w:val="single" w:sz="2" w:space="0" w:color="000000"/>
              <w:right w:val="nil"/>
            </w:tcBorders>
          </w:tcPr>
          <w:p w14:paraId="6CF1ECF4" w14:textId="77777777" w:rsidR="009A561D" w:rsidRPr="00A45FF2" w:rsidRDefault="009A561D" w:rsidP="004A51F2">
            <w:pPr>
              <w:rPr>
                <w:sz w:val="24"/>
                <w:szCs w:val="24"/>
              </w:rPr>
            </w:pPr>
          </w:p>
        </w:tc>
        <w:tc>
          <w:tcPr>
            <w:tcW w:w="1983" w:type="dxa"/>
            <w:gridSpan w:val="2"/>
            <w:tcBorders>
              <w:top w:val="nil"/>
              <w:left w:val="nil"/>
              <w:bottom w:val="single" w:sz="2" w:space="0" w:color="000000"/>
              <w:right w:val="nil"/>
            </w:tcBorders>
          </w:tcPr>
          <w:p w14:paraId="181C2BE1" w14:textId="77777777" w:rsidR="009A561D" w:rsidRPr="00A45FF2" w:rsidRDefault="009A561D" w:rsidP="00B72AE7">
            <w:pPr>
              <w:jc w:val="center"/>
              <w:rPr>
                <w:sz w:val="24"/>
                <w:szCs w:val="24"/>
              </w:rPr>
            </w:pPr>
          </w:p>
        </w:tc>
        <w:tc>
          <w:tcPr>
            <w:tcW w:w="3828" w:type="dxa"/>
            <w:gridSpan w:val="3"/>
            <w:tcBorders>
              <w:top w:val="nil"/>
              <w:left w:val="nil"/>
              <w:bottom w:val="single" w:sz="2" w:space="0" w:color="000000"/>
              <w:right w:val="single" w:sz="2" w:space="0" w:color="000000"/>
            </w:tcBorders>
          </w:tcPr>
          <w:p w14:paraId="0BCC051F" w14:textId="77777777" w:rsidR="009A561D" w:rsidRPr="00A45FF2" w:rsidRDefault="009A561D" w:rsidP="00B72AE7">
            <w:pPr>
              <w:autoSpaceDE/>
              <w:rPr>
                <w:sz w:val="24"/>
                <w:szCs w:val="24"/>
              </w:rPr>
            </w:pPr>
          </w:p>
        </w:tc>
      </w:tr>
    </w:tbl>
    <w:p w14:paraId="23E80C7F" w14:textId="77777777" w:rsidR="009A561D" w:rsidRPr="0045768F" w:rsidRDefault="009A561D" w:rsidP="004A51F2">
      <w:pPr>
        <w:rPr>
          <w:sz w:val="24"/>
          <w:szCs w:val="24"/>
        </w:rPr>
      </w:pPr>
    </w:p>
    <w:sectPr w:rsidR="009A561D" w:rsidRPr="0045768F" w:rsidSect="003B7128">
      <w:pgSz w:w="11906" w:h="16838"/>
      <w:pgMar w:top="1560" w:right="567" w:bottom="1276" w:left="1134" w:header="397" w:footer="28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15D73" w14:textId="77777777" w:rsidR="00AD43E7" w:rsidRDefault="00AD43E7">
      <w:r>
        <w:separator/>
      </w:r>
    </w:p>
  </w:endnote>
  <w:endnote w:type="continuationSeparator" w:id="0">
    <w:p w14:paraId="7025F242" w14:textId="77777777" w:rsidR="00AD43E7" w:rsidRDefault="00AD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43" w:usb2="00000009" w:usb3="00000000" w:csb0="000001FF" w:csb1="00000000"/>
  </w:font>
  <w:font w:name="Tahoma">
    <w:altName w:val="Verdana"/>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2AFF" w:usb1="C000247B"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49C6A" w14:textId="77777777" w:rsidR="00AD43E7" w:rsidRDefault="00AD43E7">
      <w:r>
        <w:separator/>
      </w:r>
    </w:p>
  </w:footnote>
  <w:footnote w:type="continuationSeparator" w:id="0">
    <w:p w14:paraId="216062F6" w14:textId="77777777" w:rsidR="00AD43E7" w:rsidRDefault="00AD4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360" w:hanging="360"/>
      </w:pPr>
    </w:lvl>
  </w:abstractNum>
  <w:abstractNum w:abstractNumId="1">
    <w:nsid w:val="00000002"/>
    <w:multiLevelType w:val="singleLevel"/>
    <w:tmpl w:val="04190011"/>
    <w:lvl w:ilvl="0">
      <w:start w:val="1"/>
      <w:numFmt w:val="decimal"/>
      <w:lvlText w:val="%1)"/>
      <w:lvlJc w:val="left"/>
      <w:pPr>
        <w:ind w:left="720" w:hanging="360"/>
      </w:pPr>
      <w:rPr>
        <w:rFonts w:hint="default"/>
        <w:color w:val="000000"/>
      </w:rPr>
    </w:lvl>
  </w:abstractNum>
  <w:abstractNum w:abstractNumId="2">
    <w:nsid w:val="04FA1C6B"/>
    <w:multiLevelType w:val="hybridMultilevel"/>
    <w:tmpl w:val="DA30F7E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FC779DD"/>
    <w:multiLevelType w:val="hybridMultilevel"/>
    <w:tmpl w:val="A8F6829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A2360F6"/>
    <w:multiLevelType w:val="hybridMultilevel"/>
    <w:tmpl w:val="366EA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2D3463"/>
    <w:multiLevelType w:val="hybridMultilevel"/>
    <w:tmpl w:val="0FA47F0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5A76641"/>
    <w:multiLevelType w:val="hybridMultilevel"/>
    <w:tmpl w:val="42B6B2E6"/>
    <w:lvl w:ilvl="0" w:tplc="5178FBA0">
      <w:start w:val="1"/>
      <w:numFmt w:val="decimal"/>
      <w:lvlText w:val="%1."/>
      <w:lvlJc w:val="left"/>
      <w:pPr>
        <w:tabs>
          <w:tab w:val="num" w:pos="720"/>
        </w:tabs>
        <w:ind w:firstLine="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6735C68"/>
    <w:multiLevelType w:val="multilevel"/>
    <w:tmpl w:val="7EA4F59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5E7160"/>
    <w:multiLevelType w:val="multilevel"/>
    <w:tmpl w:val="30A0E050"/>
    <w:lvl w:ilvl="0">
      <w:start w:val="1"/>
      <w:numFmt w:val="decimal"/>
      <w:pStyle w:val="1"/>
      <w:lvlText w:val="%1."/>
      <w:lvlJc w:val="center"/>
      <w:pPr>
        <w:tabs>
          <w:tab w:val="num" w:pos="568"/>
        </w:tabs>
        <w:ind w:left="568" w:hanging="568"/>
      </w:pPr>
      <w:rPr>
        <w:rFonts w:cs="Times New Roman" w:hint="default"/>
      </w:rPr>
    </w:lvl>
    <w:lvl w:ilvl="1">
      <w:start w:val="1"/>
      <w:numFmt w:val="decimal"/>
      <w:pStyle w:val="2"/>
      <w:lvlText w:val="%1.%2."/>
      <w:lvlJc w:val="left"/>
      <w:pPr>
        <w:tabs>
          <w:tab w:val="num" w:pos="1134"/>
        </w:tabs>
        <w:ind w:left="1134" w:hanging="1133"/>
      </w:pPr>
      <w:rPr>
        <w:rFonts w:cs="Times New Roman" w:hint="default"/>
      </w:rPr>
    </w:lvl>
    <w:lvl w:ilvl="2">
      <w:start w:val="1"/>
      <w:numFmt w:val="decimal"/>
      <w:pStyle w:val="3"/>
      <w:lvlText w:val="%1.%2.%3."/>
      <w:lvlJc w:val="left"/>
      <w:pPr>
        <w:tabs>
          <w:tab w:val="num" w:pos="1134"/>
        </w:tabs>
        <w:ind w:left="1134" w:hanging="1133"/>
      </w:pPr>
      <w:rPr>
        <w:rFonts w:cs="Times New Roman" w:hint="default"/>
      </w:rPr>
    </w:lvl>
    <w:lvl w:ilvl="3">
      <w:start w:val="1"/>
      <w:numFmt w:val="decimal"/>
      <w:pStyle w:val="4"/>
      <w:lvlText w:val="%1.%2.%3.%4."/>
      <w:lvlJc w:val="left"/>
      <w:pPr>
        <w:tabs>
          <w:tab w:val="num" w:pos="1134"/>
        </w:tabs>
        <w:ind w:left="1134"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9">
    <w:nsid w:val="502C72AB"/>
    <w:multiLevelType w:val="hybridMultilevel"/>
    <w:tmpl w:val="010210F6"/>
    <w:lvl w:ilvl="0" w:tplc="FE76A314">
      <w:start w:val="7"/>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1C6AA8"/>
    <w:multiLevelType w:val="hybridMultilevel"/>
    <w:tmpl w:val="F5A69A56"/>
    <w:lvl w:ilvl="0" w:tplc="04190011">
      <w:start w:val="1"/>
      <w:numFmt w:val="decimal"/>
      <w:lvlText w:val="%1)"/>
      <w:lvlJc w:val="left"/>
      <w:pPr>
        <w:ind w:left="72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2D678E8"/>
    <w:multiLevelType w:val="multilevel"/>
    <w:tmpl w:val="32D200BE"/>
    <w:lvl w:ilvl="0">
      <w:start w:val="1"/>
      <w:numFmt w:val="decimal"/>
      <w:lvlText w:val="%1."/>
      <w:lvlJc w:val="left"/>
      <w:pPr>
        <w:ind w:left="720" w:hanging="360"/>
      </w:pPr>
    </w:lvl>
    <w:lvl w:ilvl="1">
      <w:start w:val="8"/>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BE7545D"/>
    <w:multiLevelType w:val="multilevel"/>
    <w:tmpl w:val="32D200BE"/>
    <w:lvl w:ilvl="0">
      <w:start w:val="1"/>
      <w:numFmt w:val="decimal"/>
      <w:lvlText w:val="%1."/>
      <w:lvlJc w:val="left"/>
      <w:pPr>
        <w:ind w:left="720" w:hanging="360"/>
      </w:pPr>
    </w:lvl>
    <w:lvl w:ilvl="1">
      <w:start w:val="8"/>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2F03A19"/>
    <w:multiLevelType w:val="multilevel"/>
    <w:tmpl w:val="11FE79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8"/>
  </w:num>
  <w:num w:numId="5">
    <w:abstractNumId w:val="9"/>
  </w:num>
  <w:num w:numId="6">
    <w:abstractNumId w:val="2"/>
  </w:num>
  <w:num w:numId="7">
    <w:abstractNumId w:val="0"/>
  </w:num>
  <w:num w:numId="8">
    <w:abstractNumId w:val="5"/>
  </w:num>
  <w:num w:numId="9">
    <w:abstractNumId w:val="10"/>
  </w:num>
  <w:num w:numId="10">
    <w:abstractNumId w:val="4"/>
  </w:num>
  <w:num w:numId="11">
    <w:abstractNumId w:val="13"/>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BB"/>
    <w:rsid w:val="00015372"/>
    <w:rsid w:val="0002271E"/>
    <w:rsid w:val="00031E92"/>
    <w:rsid w:val="00047BE7"/>
    <w:rsid w:val="000522FC"/>
    <w:rsid w:val="00061D62"/>
    <w:rsid w:val="00062A33"/>
    <w:rsid w:val="00075A4D"/>
    <w:rsid w:val="00083528"/>
    <w:rsid w:val="000B2591"/>
    <w:rsid w:val="000B502B"/>
    <w:rsid w:val="000B7AD2"/>
    <w:rsid w:val="000D1596"/>
    <w:rsid w:val="000E53E1"/>
    <w:rsid w:val="000E6F37"/>
    <w:rsid w:val="000F2622"/>
    <w:rsid w:val="001009E9"/>
    <w:rsid w:val="001019A8"/>
    <w:rsid w:val="001022C7"/>
    <w:rsid w:val="001205F9"/>
    <w:rsid w:val="00125C9F"/>
    <w:rsid w:val="0012650E"/>
    <w:rsid w:val="00127FF2"/>
    <w:rsid w:val="00132AD4"/>
    <w:rsid w:val="00134C55"/>
    <w:rsid w:val="00160794"/>
    <w:rsid w:val="001729F9"/>
    <w:rsid w:val="00185575"/>
    <w:rsid w:val="001966AF"/>
    <w:rsid w:val="001A34D0"/>
    <w:rsid w:val="001A427C"/>
    <w:rsid w:val="001A47D2"/>
    <w:rsid w:val="001A6406"/>
    <w:rsid w:val="001C4071"/>
    <w:rsid w:val="001D5699"/>
    <w:rsid w:val="001F719C"/>
    <w:rsid w:val="001F7DBB"/>
    <w:rsid w:val="0020177F"/>
    <w:rsid w:val="002035F2"/>
    <w:rsid w:val="0020747C"/>
    <w:rsid w:val="00217DE7"/>
    <w:rsid w:val="002237C9"/>
    <w:rsid w:val="0023365E"/>
    <w:rsid w:val="00240425"/>
    <w:rsid w:val="00252B0F"/>
    <w:rsid w:val="00273C30"/>
    <w:rsid w:val="0029126B"/>
    <w:rsid w:val="00291446"/>
    <w:rsid w:val="00294ECC"/>
    <w:rsid w:val="00296D91"/>
    <w:rsid w:val="002C7099"/>
    <w:rsid w:val="002D1B79"/>
    <w:rsid w:val="002F22E5"/>
    <w:rsid w:val="00305B71"/>
    <w:rsid w:val="00320AFA"/>
    <w:rsid w:val="0032529A"/>
    <w:rsid w:val="00333457"/>
    <w:rsid w:val="00356B4A"/>
    <w:rsid w:val="003668D8"/>
    <w:rsid w:val="00390EA2"/>
    <w:rsid w:val="003A510E"/>
    <w:rsid w:val="003B09FE"/>
    <w:rsid w:val="003B7128"/>
    <w:rsid w:val="003C44E4"/>
    <w:rsid w:val="003C699C"/>
    <w:rsid w:val="003D246F"/>
    <w:rsid w:val="003D3AC4"/>
    <w:rsid w:val="003D73EC"/>
    <w:rsid w:val="003E6885"/>
    <w:rsid w:val="003E7359"/>
    <w:rsid w:val="003F06A8"/>
    <w:rsid w:val="00403788"/>
    <w:rsid w:val="00404F38"/>
    <w:rsid w:val="004152CF"/>
    <w:rsid w:val="00422D6A"/>
    <w:rsid w:val="004267FB"/>
    <w:rsid w:val="00450491"/>
    <w:rsid w:val="00452909"/>
    <w:rsid w:val="00467910"/>
    <w:rsid w:val="004A4957"/>
    <w:rsid w:val="004A4C3C"/>
    <w:rsid w:val="004A51F2"/>
    <w:rsid w:val="004B1130"/>
    <w:rsid w:val="004B59A6"/>
    <w:rsid w:val="004B76F8"/>
    <w:rsid w:val="004C0EBB"/>
    <w:rsid w:val="004E1D94"/>
    <w:rsid w:val="004F315B"/>
    <w:rsid w:val="004F43C7"/>
    <w:rsid w:val="00500E73"/>
    <w:rsid w:val="00504537"/>
    <w:rsid w:val="00504A91"/>
    <w:rsid w:val="005056B1"/>
    <w:rsid w:val="005111AA"/>
    <w:rsid w:val="00516B3D"/>
    <w:rsid w:val="00527522"/>
    <w:rsid w:val="00557A88"/>
    <w:rsid w:val="00564264"/>
    <w:rsid w:val="00565BE0"/>
    <w:rsid w:val="005722EA"/>
    <w:rsid w:val="005744C4"/>
    <w:rsid w:val="00586249"/>
    <w:rsid w:val="00587B20"/>
    <w:rsid w:val="00597BB4"/>
    <w:rsid w:val="00597CE9"/>
    <w:rsid w:val="005A04C9"/>
    <w:rsid w:val="005A0D66"/>
    <w:rsid w:val="005B1F6F"/>
    <w:rsid w:val="005B39A1"/>
    <w:rsid w:val="005B3F99"/>
    <w:rsid w:val="005B4571"/>
    <w:rsid w:val="005C1EA3"/>
    <w:rsid w:val="005C2E42"/>
    <w:rsid w:val="005C72AD"/>
    <w:rsid w:val="005E601D"/>
    <w:rsid w:val="005E6DD9"/>
    <w:rsid w:val="005F206C"/>
    <w:rsid w:val="005F739B"/>
    <w:rsid w:val="006011C2"/>
    <w:rsid w:val="006038C9"/>
    <w:rsid w:val="006063FE"/>
    <w:rsid w:val="00610691"/>
    <w:rsid w:val="0063717E"/>
    <w:rsid w:val="00650A69"/>
    <w:rsid w:val="006574EF"/>
    <w:rsid w:val="0067008D"/>
    <w:rsid w:val="006764DB"/>
    <w:rsid w:val="0068091A"/>
    <w:rsid w:val="006A2C81"/>
    <w:rsid w:val="006A675E"/>
    <w:rsid w:val="006A7E53"/>
    <w:rsid w:val="006B300C"/>
    <w:rsid w:val="006C171A"/>
    <w:rsid w:val="006D1104"/>
    <w:rsid w:val="006E2CBD"/>
    <w:rsid w:val="006F7D12"/>
    <w:rsid w:val="0071086B"/>
    <w:rsid w:val="00723FE8"/>
    <w:rsid w:val="00755859"/>
    <w:rsid w:val="00765C3D"/>
    <w:rsid w:val="00784B7D"/>
    <w:rsid w:val="00785315"/>
    <w:rsid w:val="00787E05"/>
    <w:rsid w:val="0079180F"/>
    <w:rsid w:val="007A0A75"/>
    <w:rsid w:val="007A2DD5"/>
    <w:rsid w:val="007C00F9"/>
    <w:rsid w:val="007D0EDB"/>
    <w:rsid w:val="007D13B1"/>
    <w:rsid w:val="007F5F61"/>
    <w:rsid w:val="007F7672"/>
    <w:rsid w:val="007F7D71"/>
    <w:rsid w:val="00801CBB"/>
    <w:rsid w:val="00820160"/>
    <w:rsid w:val="0082163D"/>
    <w:rsid w:val="0082779B"/>
    <w:rsid w:val="008461CA"/>
    <w:rsid w:val="00857718"/>
    <w:rsid w:val="008641E7"/>
    <w:rsid w:val="00864CA0"/>
    <w:rsid w:val="008671DF"/>
    <w:rsid w:val="0087680F"/>
    <w:rsid w:val="00877C07"/>
    <w:rsid w:val="00890D26"/>
    <w:rsid w:val="00893DBF"/>
    <w:rsid w:val="008A2193"/>
    <w:rsid w:val="008C2233"/>
    <w:rsid w:val="008F112F"/>
    <w:rsid w:val="008F4415"/>
    <w:rsid w:val="008F7A7E"/>
    <w:rsid w:val="00906348"/>
    <w:rsid w:val="009076A8"/>
    <w:rsid w:val="00907BDF"/>
    <w:rsid w:val="00913098"/>
    <w:rsid w:val="00913784"/>
    <w:rsid w:val="009350F7"/>
    <w:rsid w:val="00937B90"/>
    <w:rsid w:val="00943D14"/>
    <w:rsid w:val="00944115"/>
    <w:rsid w:val="009444C8"/>
    <w:rsid w:val="0095528A"/>
    <w:rsid w:val="00960BAB"/>
    <w:rsid w:val="00960FDE"/>
    <w:rsid w:val="009768EC"/>
    <w:rsid w:val="00984975"/>
    <w:rsid w:val="00990F3C"/>
    <w:rsid w:val="009A00F0"/>
    <w:rsid w:val="009A561D"/>
    <w:rsid w:val="009A640A"/>
    <w:rsid w:val="009B6518"/>
    <w:rsid w:val="009D0DCF"/>
    <w:rsid w:val="009D53B7"/>
    <w:rsid w:val="00A00EEF"/>
    <w:rsid w:val="00A4119F"/>
    <w:rsid w:val="00A60477"/>
    <w:rsid w:val="00A613A0"/>
    <w:rsid w:val="00A61DF5"/>
    <w:rsid w:val="00A63577"/>
    <w:rsid w:val="00A73473"/>
    <w:rsid w:val="00A76472"/>
    <w:rsid w:val="00A769E6"/>
    <w:rsid w:val="00A8017A"/>
    <w:rsid w:val="00A959C9"/>
    <w:rsid w:val="00AA1A64"/>
    <w:rsid w:val="00AA54A5"/>
    <w:rsid w:val="00AC2BEC"/>
    <w:rsid w:val="00AC7A5A"/>
    <w:rsid w:val="00AD43E7"/>
    <w:rsid w:val="00AD60B0"/>
    <w:rsid w:val="00AE35A7"/>
    <w:rsid w:val="00AF42A3"/>
    <w:rsid w:val="00B0102C"/>
    <w:rsid w:val="00B01F52"/>
    <w:rsid w:val="00B02D99"/>
    <w:rsid w:val="00B06D4E"/>
    <w:rsid w:val="00B12A33"/>
    <w:rsid w:val="00B15C8F"/>
    <w:rsid w:val="00B365F3"/>
    <w:rsid w:val="00B40BE1"/>
    <w:rsid w:val="00B601C6"/>
    <w:rsid w:val="00B613A5"/>
    <w:rsid w:val="00B62875"/>
    <w:rsid w:val="00B64003"/>
    <w:rsid w:val="00B716BC"/>
    <w:rsid w:val="00B735C6"/>
    <w:rsid w:val="00B93BDD"/>
    <w:rsid w:val="00BA0B38"/>
    <w:rsid w:val="00BD792F"/>
    <w:rsid w:val="00BD7CEA"/>
    <w:rsid w:val="00BE1A7C"/>
    <w:rsid w:val="00C041F2"/>
    <w:rsid w:val="00C1075E"/>
    <w:rsid w:val="00C122FF"/>
    <w:rsid w:val="00C14910"/>
    <w:rsid w:val="00C14F53"/>
    <w:rsid w:val="00C23B4A"/>
    <w:rsid w:val="00C43DF8"/>
    <w:rsid w:val="00C444AD"/>
    <w:rsid w:val="00C45034"/>
    <w:rsid w:val="00C51DEE"/>
    <w:rsid w:val="00C7436C"/>
    <w:rsid w:val="00C81EBE"/>
    <w:rsid w:val="00CA638A"/>
    <w:rsid w:val="00CB4109"/>
    <w:rsid w:val="00CD1A18"/>
    <w:rsid w:val="00CF3BBB"/>
    <w:rsid w:val="00D1409F"/>
    <w:rsid w:val="00D15DCE"/>
    <w:rsid w:val="00D255F9"/>
    <w:rsid w:val="00D31B30"/>
    <w:rsid w:val="00D45912"/>
    <w:rsid w:val="00D57E3A"/>
    <w:rsid w:val="00D6097D"/>
    <w:rsid w:val="00DA274A"/>
    <w:rsid w:val="00DA4D48"/>
    <w:rsid w:val="00DC1693"/>
    <w:rsid w:val="00DE2AFE"/>
    <w:rsid w:val="00DE61EE"/>
    <w:rsid w:val="00DF06AA"/>
    <w:rsid w:val="00E05572"/>
    <w:rsid w:val="00E12D40"/>
    <w:rsid w:val="00E154DB"/>
    <w:rsid w:val="00E20FFE"/>
    <w:rsid w:val="00E22302"/>
    <w:rsid w:val="00E31761"/>
    <w:rsid w:val="00E568C0"/>
    <w:rsid w:val="00E71F39"/>
    <w:rsid w:val="00E807A7"/>
    <w:rsid w:val="00EA0CC3"/>
    <w:rsid w:val="00EA1605"/>
    <w:rsid w:val="00EA3A9A"/>
    <w:rsid w:val="00EA61E7"/>
    <w:rsid w:val="00EB0128"/>
    <w:rsid w:val="00EB1E23"/>
    <w:rsid w:val="00EC607A"/>
    <w:rsid w:val="00ED177F"/>
    <w:rsid w:val="00EE094E"/>
    <w:rsid w:val="00EE6AA5"/>
    <w:rsid w:val="00EF4F85"/>
    <w:rsid w:val="00F13F64"/>
    <w:rsid w:val="00F200C0"/>
    <w:rsid w:val="00F24A3C"/>
    <w:rsid w:val="00F31178"/>
    <w:rsid w:val="00F4159A"/>
    <w:rsid w:val="00F44177"/>
    <w:rsid w:val="00F64509"/>
    <w:rsid w:val="00F66A9C"/>
    <w:rsid w:val="00F76B53"/>
    <w:rsid w:val="00F82568"/>
    <w:rsid w:val="00F87E73"/>
    <w:rsid w:val="00F914BD"/>
    <w:rsid w:val="00FB1719"/>
    <w:rsid w:val="00FC414A"/>
    <w:rsid w:val="00FD720C"/>
    <w:rsid w:val="00FE733B"/>
    <w:rsid w:val="00FF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08F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Default Paragraph Font" w:uiPriority="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5">
    <w:name w:val="Нижний колонтитул Знак"/>
    <w:basedOn w:val="a0"/>
    <w:link w:val="a6"/>
    <w:uiPriority w:val="99"/>
    <w:semiHidden/>
    <w:locked/>
    <w:rPr>
      <w:rFonts w:cs="Times New Roman"/>
      <w:sz w:val="20"/>
      <w:szCs w:val="20"/>
    </w:rPr>
  </w:style>
  <w:style w:type="paragraph" w:customStyle="1" w:styleId="a7">
    <w:name w:val="–ѓ_ХШ_ѓ"/>
    <w:basedOn w:val="a"/>
    <w:uiPriority w:val="99"/>
    <w:rsid w:val="00765C3D"/>
    <w:pPr>
      <w:autoSpaceDE/>
      <w:autoSpaceDN/>
      <w:jc w:val="both"/>
    </w:pPr>
    <w:rPr>
      <w:rFonts w:ascii="Arial" w:hAnsi="Arial" w:cs="Arial"/>
      <w:sz w:val="18"/>
      <w:szCs w:val="18"/>
    </w:rPr>
  </w:style>
  <w:style w:type="paragraph" w:styleId="a6">
    <w:name w:val="footer"/>
    <w:basedOn w:val="a"/>
    <w:link w:val="a5"/>
    <w:uiPriority w:val="99"/>
    <w:pPr>
      <w:tabs>
        <w:tab w:val="center" w:pos="4153"/>
        <w:tab w:val="right" w:pos="8306"/>
      </w:tabs>
    </w:pPr>
  </w:style>
  <w:style w:type="paragraph" w:customStyle="1" w:styleId="21">
    <w:name w:val="‘_кФ_кФП _е_ _ Ф_гЂФЦ 21"/>
    <w:basedOn w:val="a"/>
    <w:uiPriority w:val="99"/>
    <w:rsid w:val="00EF4F85"/>
    <w:pPr>
      <w:suppressAutoHyphens/>
      <w:autoSpaceDE/>
      <w:autoSpaceDN/>
      <w:ind w:left="825"/>
    </w:pPr>
    <w:rPr>
      <w:lang w:eastAsia="ar-SA"/>
    </w:rPr>
  </w:style>
  <w:style w:type="paragraph" w:styleId="a8">
    <w:name w:val="Balloon Text"/>
    <w:basedOn w:val="a"/>
    <w:link w:val="a9"/>
    <w:uiPriority w:val="99"/>
    <w:semiHidden/>
    <w:rsid w:val="00A613A0"/>
    <w:rPr>
      <w:rFonts w:ascii="Tahoma" w:hAnsi="Tahoma" w:cs="Tahoma"/>
      <w:sz w:val="16"/>
      <w:szCs w:val="16"/>
    </w:rPr>
  </w:style>
  <w:style w:type="paragraph" w:customStyle="1" w:styleId="2">
    <w:name w:val="“гке_2"/>
    <w:basedOn w:val="a"/>
    <w:rsid w:val="00FC414A"/>
    <w:pPr>
      <w:numPr>
        <w:ilvl w:val="1"/>
        <w:numId w:val="4"/>
      </w:numPr>
      <w:autoSpaceDE/>
      <w:autoSpaceDN/>
      <w:spacing w:line="360" w:lineRule="auto"/>
      <w:jc w:val="both"/>
    </w:pPr>
    <w:rPr>
      <w:rFonts w:ascii="Calibri" w:hAnsi="Calibri"/>
      <w:sz w:val="28"/>
      <w:szCs w:val="24"/>
      <w:lang w:val="en-US" w:eastAsia="en-US"/>
    </w:rPr>
  </w:style>
  <w:style w:type="character" w:customStyle="1" w:styleId="a4">
    <w:name w:val="Верхний колонтитул Знак"/>
    <w:basedOn w:val="a0"/>
    <w:link w:val="a3"/>
    <w:uiPriority w:val="99"/>
    <w:semiHidden/>
    <w:locked/>
    <w:rPr>
      <w:rFonts w:cs="Times New Roman"/>
      <w:sz w:val="20"/>
      <w:szCs w:val="20"/>
    </w:rPr>
  </w:style>
  <w:style w:type="paragraph" w:customStyle="1" w:styleId="12">
    <w:name w:val="_кѓе12"/>
    <w:basedOn w:val="a"/>
    <w:rsid w:val="00937B90"/>
    <w:pPr>
      <w:tabs>
        <w:tab w:val="num" w:pos="0"/>
      </w:tabs>
      <w:autoSpaceDE/>
      <w:autoSpaceDN/>
      <w:spacing w:after="160" w:line="240" w:lineRule="exact"/>
      <w:jc w:val="both"/>
    </w:pPr>
    <w:rPr>
      <w:rFonts w:ascii="Verdana" w:hAnsi="Verdana" w:cs="Verdana"/>
      <w:lang w:val="en-US" w:eastAsia="en-US"/>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customStyle="1" w:styleId="3">
    <w:name w:val="“гке_3"/>
    <w:basedOn w:val="2"/>
    <w:rsid w:val="00FC414A"/>
    <w:pPr>
      <w:numPr>
        <w:ilvl w:val="2"/>
      </w:numPr>
    </w:pPr>
  </w:style>
  <w:style w:type="paragraph" w:customStyle="1" w:styleId="4">
    <w:name w:val="“гке_4"/>
    <w:basedOn w:val="3"/>
    <w:rsid w:val="00FC414A"/>
    <w:pPr>
      <w:numPr>
        <w:ilvl w:val="3"/>
      </w:numPr>
    </w:pPr>
  </w:style>
  <w:style w:type="paragraph" w:customStyle="1" w:styleId="5ABCD">
    <w:name w:val="“гке_5_ABCD"/>
    <w:basedOn w:val="a"/>
    <w:rsid w:val="00FC414A"/>
    <w:pPr>
      <w:numPr>
        <w:ilvl w:val="4"/>
        <w:numId w:val="4"/>
      </w:numPr>
      <w:autoSpaceDE/>
      <w:autoSpaceDN/>
      <w:spacing w:line="360" w:lineRule="auto"/>
      <w:jc w:val="both"/>
    </w:pPr>
    <w:rPr>
      <w:rFonts w:ascii="Calibri" w:hAnsi="Calibri"/>
      <w:sz w:val="28"/>
      <w:szCs w:val="24"/>
      <w:lang w:val="en-US" w:eastAsia="en-US"/>
    </w:rPr>
  </w:style>
  <w:style w:type="paragraph" w:customStyle="1" w:styleId="1">
    <w:name w:val="“гке_1"/>
    <w:basedOn w:val="a"/>
    <w:rsid w:val="00FC414A"/>
    <w:pPr>
      <w:keepNext/>
      <w:numPr>
        <w:numId w:val="4"/>
      </w:numPr>
      <w:autoSpaceDE/>
      <w:autoSpaceDN/>
      <w:spacing w:before="480" w:after="240"/>
      <w:ind w:left="567" w:hanging="567"/>
      <w:jc w:val="center"/>
      <w:outlineLvl w:val="0"/>
    </w:pPr>
    <w:rPr>
      <w:rFonts w:ascii="Arial" w:hAnsi="Arial"/>
      <w:b/>
      <w:sz w:val="32"/>
      <w:szCs w:val="28"/>
      <w:lang w:val="en-US" w:eastAsia="en-US"/>
    </w:rPr>
  </w:style>
  <w:style w:type="paragraph" w:customStyle="1" w:styleId="aa">
    <w:name w:val="_кѓе"/>
    <w:basedOn w:val="a"/>
    <w:uiPriority w:val="99"/>
    <w:rsid w:val="004267FB"/>
    <w:pPr>
      <w:tabs>
        <w:tab w:val="num" w:pos="0"/>
      </w:tabs>
      <w:autoSpaceDE/>
      <w:autoSpaceDN/>
      <w:spacing w:after="160" w:line="240" w:lineRule="exact"/>
      <w:jc w:val="both"/>
    </w:pPr>
    <w:rPr>
      <w:rFonts w:ascii="Verdana" w:hAnsi="Verdana" w:cs="Verdana"/>
      <w:lang w:val="en-US" w:eastAsia="en-US"/>
    </w:rPr>
  </w:style>
  <w:style w:type="character" w:customStyle="1" w:styleId="MSGENFONTSTYLENAMETEMPLATEROLEMSGENFONTSTYLENAMEBYROLETEXT">
    <w:name w:val="MSG_EN_FONT_STYLE_NAME_TEMPLATE_ROLE MSG_EN_FONT_STYLE_NAME_BY_ROLE_TEXT_"/>
    <w:link w:val="MSGENFONTSTYLENAMETEMPLATEROLEMSGENFONTSTYLENAMEBYROLETEXT0"/>
    <w:locked/>
    <w:rsid w:val="006011C2"/>
    <w:rPr>
      <w:shd w:val="clear" w:color="auto" w:fill="FFFFFF"/>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6011C2"/>
    <w:pPr>
      <w:shd w:val="clear" w:color="auto" w:fill="FFFFFF"/>
      <w:autoSpaceDE/>
      <w:autoSpaceDN/>
      <w:spacing w:line="274" w:lineRule="exact"/>
      <w:jc w:val="both"/>
    </w:pPr>
    <w:rPr>
      <w:sz w:val="22"/>
      <w:szCs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6011C2"/>
    <w:rPr>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6011C2"/>
    <w:pPr>
      <w:widowControl w:val="0"/>
      <w:shd w:val="clear" w:color="auto" w:fill="FFFFFF"/>
      <w:autoSpaceDE/>
      <w:autoSpaceDN/>
      <w:spacing w:before="3180" w:after="3780" w:line="310" w:lineRule="exact"/>
      <w:jc w:val="center"/>
    </w:pPr>
    <w:rPr>
      <w:sz w:val="22"/>
      <w:szCs w:val="22"/>
    </w:rPr>
  </w:style>
  <w:style w:type="character" w:styleId="ab">
    <w:name w:val="annotation reference"/>
    <w:basedOn w:val="a0"/>
    <w:uiPriority w:val="99"/>
    <w:rsid w:val="00857718"/>
    <w:rPr>
      <w:rFonts w:cs="Times New Roman"/>
      <w:sz w:val="18"/>
      <w:szCs w:val="18"/>
    </w:rPr>
  </w:style>
  <w:style w:type="paragraph" w:styleId="ac">
    <w:name w:val="annotation text"/>
    <w:basedOn w:val="a"/>
    <w:link w:val="ad"/>
    <w:uiPriority w:val="99"/>
    <w:rsid w:val="00857718"/>
    <w:rPr>
      <w:sz w:val="24"/>
      <w:szCs w:val="24"/>
    </w:rPr>
  </w:style>
  <w:style w:type="character" w:styleId="ae">
    <w:name w:val="Hyperlink"/>
    <w:basedOn w:val="a0"/>
    <w:uiPriority w:val="99"/>
    <w:rsid w:val="00CA638A"/>
    <w:rPr>
      <w:rFonts w:cs="Times New Roman"/>
      <w:color w:val="0000FF" w:themeColor="hyperlink"/>
      <w:u w:val="single"/>
    </w:rPr>
  </w:style>
  <w:style w:type="paragraph" w:styleId="af">
    <w:name w:val="annotation subject"/>
    <w:basedOn w:val="ac"/>
    <w:next w:val="ac"/>
    <w:link w:val="af0"/>
    <w:uiPriority w:val="99"/>
    <w:rsid w:val="00857718"/>
    <w:rPr>
      <w:b/>
      <w:bCs/>
      <w:sz w:val="20"/>
      <w:szCs w:val="20"/>
    </w:rPr>
  </w:style>
  <w:style w:type="character" w:styleId="af1">
    <w:name w:val="FollowedHyperlink"/>
    <w:basedOn w:val="a0"/>
    <w:uiPriority w:val="99"/>
    <w:rsid w:val="0020177F"/>
    <w:rPr>
      <w:rFonts w:cs="Times New Roman"/>
      <w:color w:val="800080" w:themeColor="followedHyperlink"/>
      <w:u w:val="single"/>
    </w:rPr>
  </w:style>
  <w:style w:type="character" w:customStyle="1" w:styleId="ad">
    <w:name w:val="Текст примечания Знак"/>
    <w:basedOn w:val="a0"/>
    <w:link w:val="ac"/>
    <w:uiPriority w:val="99"/>
    <w:locked/>
    <w:rsid w:val="00857718"/>
    <w:rPr>
      <w:rFonts w:cs="Times New Roman"/>
      <w:sz w:val="24"/>
      <w:szCs w:val="24"/>
    </w:rPr>
  </w:style>
  <w:style w:type="character" w:customStyle="1" w:styleId="af0">
    <w:name w:val="Тема примечания Знак"/>
    <w:basedOn w:val="ad"/>
    <w:link w:val="af"/>
    <w:uiPriority w:val="99"/>
    <w:locked/>
    <w:rsid w:val="00857718"/>
    <w:rPr>
      <w:rFonts w:cs="Times New Roman"/>
      <w:b/>
      <w:bCs/>
      <w:sz w:val="20"/>
      <w:szCs w:val="20"/>
    </w:rPr>
  </w:style>
  <w:style w:type="paragraph" w:styleId="af2">
    <w:name w:val="List Paragraph"/>
    <w:basedOn w:val="a"/>
    <w:uiPriority w:val="34"/>
    <w:qFormat/>
    <w:rsid w:val="00EE094E"/>
    <w:pPr>
      <w:ind w:left="720"/>
      <w:contextualSpacing/>
    </w:pPr>
  </w:style>
  <w:style w:type="paragraph" w:customStyle="1" w:styleId="Table">
    <w:name w:val="Table"/>
    <w:basedOn w:val="a"/>
    <w:uiPriority w:val="99"/>
    <w:rsid w:val="009A561D"/>
    <w:pPr>
      <w:widowControl w:val="0"/>
      <w:autoSpaceDE/>
      <w:adjustRightInd w:val="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6291">
      <w:marLeft w:val="0"/>
      <w:marRight w:val="0"/>
      <w:marTop w:val="0"/>
      <w:marBottom w:val="0"/>
      <w:divBdr>
        <w:top w:val="none" w:sz="0" w:space="0" w:color="auto"/>
        <w:left w:val="none" w:sz="0" w:space="0" w:color="auto"/>
        <w:bottom w:val="none" w:sz="0" w:space="0" w:color="auto"/>
        <w:right w:val="none" w:sz="0" w:space="0" w:color="auto"/>
      </w:divBdr>
    </w:div>
    <w:div w:id="471796292">
      <w:marLeft w:val="0"/>
      <w:marRight w:val="0"/>
      <w:marTop w:val="0"/>
      <w:marBottom w:val="0"/>
      <w:divBdr>
        <w:top w:val="none" w:sz="0" w:space="0" w:color="auto"/>
        <w:left w:val="none" w:sz="0" w:space="0" w:color="auto"/>
        <w:bottom w:val="none" w:sz="0" w:space="0" w:color="auto"/>
        <w:right w:val="none" w:sz="0" w:space="0" w:color="auto"/>
      </w:divBdr>
    </w:div>
    <w:div w:id="471796293">
      <w:marLeft w:val="0"/>
      <w:marRight w:val="0"/>
      <w:marTop w:val="0"/>
      <w:marBottom w:val="0"/>
      <w:divBdr>
        <w:top w:val="none" w:sz="0" w:space="0" w:color="auto"/>
        <w:left w:val="none" w:sz="0" w:space="0" w:color="auto"/>
        <w:bottom w:val="none" w:sz="0" w:space="0" w:color="auto"/>
        <w:right w:val="none" w:sz="0" w:space="0" w:color="auto"/>
      </w:divBdr>
    </w:div>
    <w:div w:id="471796294">
      <w:marLeft w:val="0"/>
      <w:marRight w:val="0"/>
      <w:marTop w:val="0"/>
      <w:marBottom w:val="0"/>
      <w:divBdr>
        <w:top w:val="none" w:sz="0" w:space="0" w:color="auto"/>
        <w:left w:val="none" w:sz="0" w:space="0" w:color="auto"/>
        <w:bottom w:val="none" w:sz="0" w:space="0" w:color="auto"/>
        <w:right w:val="none" w:sz="0" w:space="0" w:color="auto"/>
      </w:divBdr>
    </w:div>
    <w:div w:id="471796295">
      <w:marLeft w:val="0"/>
      <w:marRight w:val="0"/>
      <w:marTop w:val="0"/>
      <w:marBottom w:val="0"/>
      <w:divBdr>
        <w:top w:val="none" w:sz="0" w:space="0" w:color="auto"/>
        <w:left w:val="none" w:sz="0" w:space="0" w:color="auto"/>
        <w:bottom w:val="none" w:sz="0" w:space="0" w:color="auto"/>
        <w:right w:val="none" w:sz="0" w:space="0" w:color="auto"/>
      </w:divBdr>
    </w:div>
    <w:div w:id="471796296">
      <w:marLeft w:val="0"/>
      <w:marRight w:val="0"/>
      <w:marTop w:val="0"/>
      <w:marBottom w:val="0"/>
      <w:divBdr>
        <w:top w:val="none" w:sz="0" w:space="0" w:color="auto"/>
        <w:left w:val="none" w:sz="0" w:space="0" w:color="auto"/>
        <w:bottom w:val="none" w:sz="0" w:space="0" w:color="auto"/>
        <w:right w:val="none" w:sz="0" w:space="0" w:color="auto"/>
      </w:divBdr>
    </w:div>
    <w:div w:id="471796297">
      <w:marLeft w:val="0"/>
      <w:marRight w:val="0"/>
      <w:marTop w:val="0"/>
      <w:marBottom w:val="0"/>
      <w:divBdr>
        <w:top w:val="none" w:sz="0" w:space="0" w:color="auto"/>
        <w:left w:val="none" w:sz="0" w:space="0" w:color="auto"/>
        <w:bottom w:val="none" w:sz="0" w:space="0" w:color="auto"/>
        <w:right w:val="none" w:sz="0" w:space="0" w:color="auto"/>
      </w:divBdr>
    </w:div>
    <w:div w:id="471796298">
      <w:marLeft w:val="0"/>
      <w:marRight w:val="0"/>
      <w:marTop w:val="0"/>
      <w:marBottom w:val="0"/>
      <w:divBdr>
        <w:top w:val="none" w:sz="0" w:space="0" w:color="auto"/>
        <w:left w:val="none" w:sz="0" w:space="0" w:color="auto"/>
        <w:bottom w:val="none" w:sz="0" w:space="0" w:color="auto"/>
        <w:right w:val="none" w:sz="0" w:space="0" w:color="auto"/>
      </w:divBdr>
    </w:div>
    <w:div w:id="471796299">
      <w:marLeft w:val="0"/>
      <w:marRight w:val="0"/>
      <w:marTop w:val="0"/>
      <w:marBottom w:val="0"/>
      <w:divBdr>
        <w:top w:val="none" w:sz="0" w:space="0" w:color="auto"/>
        <w:left w:val="none" w:sz="0" w:space="0" w:color="auto"/>
        <w:bottom w:val="none" w:sz="0" w:space="0" w:color="auto"/>
        <w:right w:val="none" w:sz="0" w:space="0" w:color="auto"/>
      </w:divBdr>
    </w:div>
    <w:div w:id="1391226437">
      <w:bodyDiv w:val="1"/>
      <w:marLeft w:val="0"/>
      <w:marRight w:val="0"/>
      <w:marTop w:val="0"/>
      <w:marBottom w:val="0"/>
      <w:divBdr>
        <w:top w:val="none" w:sz="0" w:space="0" w:color="auto"/>
        <w:left w:val="none" w:sz="0" w:space="0" w:color="auto"/>
        <w:bottom w:val="none" w:sz="0" w:space="0" w:color="auto"/>
        <w:right w:val="none" w:sz="0" w:space="0" w:color="auto"/>
      </w:divBdr>
    </w:div>
    <w:div w:id="1857772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Елена В. Эрдман</cp:lastModifiedBy>
  <cp:revision>5</cp:revision>
  <cp:lastPrinted>2020-03-17T11:25:00Z</cp:lastPrinted>
  <dcterms:created xsi:type="dcterms:W3CDTF">2019-03-15T04:12:00Z</dcterms:created>
  <dcterms:modified xsi:type="dcterms:W3CDTF">2020-03-17T11:25:00Z</dcterms:modified>
</cp:coreProperties>
</file>