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pacing w:before="140" w:after="120"/>
        <w:jc w:val="center"/>
        <w:rPr/>
      </w:pPr>
      <w:bookmarkStart w:id="0" w:name="__DdeLink__279_1872421491"/>
      <w:r>
        <w:rPr>
          <w:rStyle w:val="Style13"/>
        </w:rPr>
        <w:t>О принципах ценообразования на розничных рынках электроэнергии в 2006 – 2010 годах</w:t>
      </w:r>
      <w:bookmarkEnd w:id="0"/>
    </w:p>
    <w:p>
      <w:pPr>
        <w:pStyle w:val="Style16"/>
        <w:rPr>
          <w:rStyle w:val="Style13"/>
        </w:rPr>
      </w:pPr>
      <w:r>
        <w:rPr/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6"/>
        <w:shd w:fill="FFFFFF" w:val="clear"/>
        <w:spacing w:lineRule="auto" w:line="288"/>
        <w:jc w:val="both"/>
        <w:rPr/>
      </w:pPr>
      <w:r>
        <w:rPr/>
        <w:t>Основной особенностью новой системы ценообразования на розничном рынке является синхронизация с процессом либерализации цен на оптовом рынке. Это предполагает поставку части объемов по регулируемой цене, а части - по цене, отражающей стоимость электрической энергии на конкурентном оптовом рынке электрической энергии в рамках предельного уровня нерегулируемых цен.</w:t>
      </w:r>
    </w:p>
    <w:p>
      <w:pPr>
        <w:pStyle w:val="Style16"/>
        <w:shd w:fill="FFFFFF" w:val="clear"/>
        <w:spacing w:lineRule="auto" w:line="288"/>
        <w:jc w:val="both"/>
        <w:rPr/>
      </w:pPr>
      <w:r>
        <w:rPr>
          <w:rStyle w:val="Style13"/>
        </w:rPr>
        <w:t xml:space="preserve">Для населения на переходный период гарантируется поставка всего фактически потребленного объема по регулируемым ценам. </w:t>
      </w:r>
    </w:p>
    <w:p>
      <w:pPr>
        <w:pStyle w:val="Style16"/>
        <w:shd w:fill="FFFFFF" w:val="clear"/>
        <w:spacing w:lineRule="auto" w:line="288"/>
        <w:jc w:val="both"/>
        <w:rPr/>
      </w:pPr>
      <w:r>
        <w:rPr/>
        <w:t xml:space="preserve">В 2006 году по регулируемым ценам (тарифам) совокупно поставляется объем электроэнергии, определяемый на основе годового прогноза, который согласован Региональной энергетической комиссией и утвержден Федеральной службой по тарифам России. В случае, если в сентябре-декабре 2006 года совокупное потребление в энергосистеме превысит прогнозный уровень, то </w:t>
      </w:r>
      <w:r>
        <w:rPr>
          <w:rStyle w:val="Style13"/>
        </w:rPr>
        <w:t xml:space="preserve">дополнительная электроэнергия </w:t>
      </w:r>
      <w:r>
        <w:rPr/>
        <w:t xml:space="preserve">будет закупаться на оптовом рынке электроэнергии по конкурентной цене и, соответственно, поставляться потребителям </w:t>
      </w:r>
      <w:r>
        <w:rPr>
          <w:rStyle w:val="Style13"/>
        </w:rPr>
        <w:t xml:space="preserve">по рыночной цене, учитывающей конкурентную составляющую оптового рынка. </w:t>
      </w:r>
    </w:p>
    <w:p>
      <w:pPr>
        <w:pStyle w:val="Style16"/>
        <w:shd w:fill="FFFFFF" w:val="clear"/>
        <w:spacing w:lineRule="auto" w:line="288"/>
        <w:jc w:val="both"/>
        <w:rPr/>
      </w:pPr>
      <w:r>
        <w:rPr/>
        <w:t xml:space="preserve">Рыночная цена формируется как </w:t>
      </w:r>
      <w:hyperlink r:id="rId2">
        <w:r>
          <w:rPr>
            <w:rStyle w:val="Style14"/>
          </w:rPr>
          <w:t>сумма конкурентной цены оптового рынка электроэнергии с учетом мощности</w:t>
        </w:r>
      </w:hyperlink>
      <w:r>
        <w:rPr/>
        <w:t xml:space="preserve"> и стоимости регулируемых услуг, тарифы на которые устанавливаются и будут устанавливаться органами государственной власти. Определить стоимость регулируемых услуг можно как разность конечного тарифа, установленного для вашей группы потребителей, и стоимости электроэнергии (мощности), учтенной в тарифах </w:t>
      </w:r>
      <w:hyperlink r:id="rId3" w:tgtFrame="_blank">
        <w:r>
          <w:rPr>
            <w:rStyle w:val="Style14"/>
          </w:rPr>
          <w:t>Комитета по регулированию цен и тарифов Ульяновской области</w:t>
        </w:r>
      </w:hyperlink>
    </w:p>
    <w:p>
      <w:pPr>
        <w:pStyle w:val="Style16"/>
        <w:shd w:fill="FFFFFF" w:val="clear"/>
        <w:spacing w:lineRule="auto" w:line="288"/>
        <w:jc w:val="both"/>
        <w:rPr/>
      </w:pPr>
      <w:r>
        <w:rPr/>
        <w:t>С 2007 года объем электроэнергии, поставляемой по регулируемым ценам, в соответствии с Постановлением Правительства № 205 от 07.04.2007 составит: I полугодие от 90 до 95 %, II полугодие от 85до 90% от прогнозного потребления в 2007 году, в дальнейшем доля поставки по регулируемым ценам будет уменьшать от 5 до 20% за полугодие. С 1 января 2011 года электроэнергия будет поставляться в полном объеме по нерегулируемым ценам. Аналогично 2006 году, превышение фактического потребления над прогнозным потреблением также будет поставляться по рыночной цене.</w:t>
      </w:r>
    </w:p>
    <w:p>
      <w:pPr>
        <w:pStyle w:val="Style16"/>
        <w:shd w:fill="FFFFFF" w:val="clear"/>
        <w:spacing w:lineRule="auto" w:line="288"/>
        <w:jc w:val="both"/>
        <w:rPr/>
      </w:pPr>
      <w:r>
        <w:rPr>
          <w:rStyle w:val="Style13"/>
        </w:rPr>
        <w:t>Предельный уровень нерегулируемых цен</w:t>
      </w:r>
      <w:r>
        <w:rPr/>
        <w:t xml:space="preserve"> определяется по специальной, зафиксированной в Правилах формуле на основании ежемесячно публикуемой НП «АТС» информации о средней стоимости единицы электрической энергии (1 кВт.ч), сложившейся на оптовом рынке за истекший месяц, с учетом регулируемых государством тарифов на услуги по передаче электрической энергии, инфраструктурные услуги, а также сбытовой надбавки.</w:t>
      </w:r>
    </w:p>
    <w:p>
      <w:pPr>
        <w:pStyle w:val="Style16"/>
        <w:shd w:fill="FFFFFF" w:val="clear"/>
        <w:spacing w:lineRule="auto" w:line="288"/>
        <w:jc w:val="both"/>
        <w:rPr/>
      </w:pPr>
      <w:r>
        <w:rPr/>
        <w:t>Это позволит стимулировать гарантирующего поставщика к минимизации своих расходов по покупке электрической энергии на оптовом рынке и в тоже время защитит потребителей электрической энергии от неосторожной ценовой политики.</w:t>
      </w:r>
    </w:p>
    <w:p>
      <w:pPr>
        <w:pStyle w:val="Style16"/>
        <w:shd w:fill="FFFFFF" w:val="clear"/>
        <w:spacing w:lineRule="auto" w:line="288"/>
        <w:jc w:val="both"/>
        <w:rPr/>
      </w:pPr>
      <w:r>
        <w:rPr/>
        <w:t>Энергосбытовые организации, которые не осуществляют поставку электроэнергию населению, вправе поставлять электрическую энергию по договорным ценам. При этом следует учитывать, что для потребителей электрической энергии, заключающих договоры с такими энергосбытовыми организациями по собственному желанию, всегда есть экономический критерий для оценки предлагаемой ими цены – стоимость поставки электрической энергии гарантирующим поставщиком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5"/>
    <w:next w:val="Style16"/>
    <w:qFormat/>
    <w:pPr>
      <w:spacing w:before="140" w:after="120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tsenergo.ru/index.jsp?pid=636" TargetMode="External"/><Relationship Id="rId3" Type="http://schemas.openxmlformats.org/officeDocument/2006/relationships/hyperlink" Target="http://tarif.ulgov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LibreOffice/6.0.3.2$Windows_X86_64 LibreOffice_project/8f48d515416608e3a835360314dac7e47fd0b821</Application>
  <Pages>2</Pages>
  <Words>400</Words>
  <Characters>2830</Characters>
  <CharactersWithSpaces>3225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2023-02-01T16:14:59Z</dcterms:created>
  <dc:creator/>
  <dc:description/>
  <dc:language>ru-RU</dc:language>
  <cp:lastModifiedBy/>
  <dcterms:modified xsi:type="dcterms:W3CDTF">2023-02-01T16:16:33Z</dcterms:modified>
  <cp:revision>1</cp:revision>
  <dc:subject/>
  <dc:title/>
</cp:coreProperties>
</file>