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spacing w:before="140" w:after="120"/>
        <w:jc w:val="center"/>
        <w:rPr/>
      </w:pPr>
      <w:r>
        <w:rPr/>
        <w:t>О принципах ценообразования на розничных рынках электроэнергии с января 2011 года</w:t>
      </w:r>
    </w:p>
    <w:p>
      <w:pPr>
        <w:pStyle w:val="Style17"/>
        <w:rPr/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Style17"/>
        <w:rPr/>
      </w:pPr>
      <w:r>
        <w:rPr/>
        <w:t>Предельные уровни нерегулируемых цен для расчета стоимости определяются   как сумма следующих составляющих:</w:t>
        <w:br/>
        <w:t>- стоимость услуг, оказание которых является неотъемлемой частью процесса снабжения электрической энергией ( услуги по передаче электрической энергии, сбытовая надбавка АО «Ульяновскэнерго», инфраструктурные платежи). Тарифы на оказание услуг энергоснабжения утверждаются на один календарный год.</w:t>
        <w:br/>
        <w:t xml:space="preserve">- средневзвешенная свободная цена покупки на оптовом рынке (рассчитывается администратором торговой системы оптового рынка по окончанию расчетного периода и ежемесячно публикуется на сайте </w:t>
      </w:r>
      <w:hyperlink r:id="rId2">
        <w:r>
          <w:rPr>
            <w:rStyle w:val="Style14"/>
          </w:rPr>
          <w:t>www.atsenergo.ru</w:t>
        </w:r>
      </w:hyperlink>
      <w:r>
        <w:rPr/>
        <w:t xml:space="preserve"> ).</w:t>
        <w:br/>
        <w:t>Расчет предельного уровня нерегулируемых цен на электрическую энергию по договорам энергоснабжения определяется по формуле:</w:t>
      </w:r>
    </w:p>
    <w:p>
      <w:pPr>
        <w:pStyle w:val="Style17"/>
        <w:jc w:val="center"/>
        <w:rPr/>
      </w:pPr>
      <w:r>
        <w:rPr/>
        <w:t>Тэ = Туслуги + Тсн + Тинфр  + Татс, где</w:t>
      </w:r>
    </w:p>
    <w:p>
      <w:pPr>
        <w:pStyle w:val="Style17"/>
        <w:rPr/>
      </w:pPr>
      <w:r>
        <w:rPr/>
        <w:t>Туслуги - тариф на услуги по передаче электрической энергии на 2011 год, утвержденный  приказом Министерства экономики Ульяновской области №06-503 от 27 декабря 2010 года.  АО «Ульяновскэнерго» оплачивает услуги по передаче, оказанные территориальными сетевыми организациями по одноставочному тарифу, в связи с этим расчет предельного уровня нерегулируемых цен будет производится исходя из одноставочного тарифа на услуги по передаче (таблица 1)</w:t>
      </w:r>
    </w:p>
    <w:p>
      <w:pPr>
        <w:pStyle w:val="Style17"/>
        <w:rPr/>
      </w:pPr>
      <w:r>
        <w:rPr/>
        <w:t>Таблица 1</w:t>
      </w:r>
    </w:p>
    <w:tbl>
      <w:tblPr>
        <w:tblW w:w="9345" w:type="dxa"/>
        <w:jc w:val="left"/>
        <w:tblInd w:w="0" w:type="dxa"/>
        <w:tblBorders>
          <w:top w:val="single" w:sz="6" w:space="0" w:color="808080"/>
          <w:left w:val="single" w:sz="6" w:space="0" w:color="808080"/>
          <w:bottom w:val="single" w:sz="2" w:space="0" w:color="808080"/>
          <w:right w:val="single" w:sz="6" w:space="0" w:color="808080"/>
          <w:insideH w:val="single" w:sz="2" w:space="0" w:color="808080"/>
          <w:insideV w:val="single" w:sz="6" w:space="0" w:color="808080"/>
        </w:tblBorders>
        <w:tblCellMar>
          <w:top w:w="28" w:type="dxa"/>
          <w:left w:w="20" w:type="dxa"/>
          <w:bottom w:w="28" w:type="dxa"/>
          <w:right w:w="28" w:type="dxa"/>
        </w:tblCellMar>
      </w:tblPr>
      <w:tblGrid>
        <w:gridCol w:w="3015"/>
        <w:gridCol w:w="1407"/>
        <w:gridCol w:w="1227"/>
        <w:gridCol w:w="1227"/>
        <w:gridCol w:w="1227"/>
        <w:gridCol w:w="1242"/>
      </w:tblGrid>
      <w:tr>
        <w:trPr/>
        <w:tc>
          <w:tcPr>
            <w:tcW w:w="30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br/>
              <w:t>Показатель</w:t>
            </w:r>
          </w:p>
        </w:tc>
        <w:tc>
          <w:tcPr>
            <w:tcW w:w="1407" w:type="dxa"/>
            <w:vMerge w:val="restar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Единица</w:t>
              <w:br/>
              <w:t>измерения</w:t>
            </w:r>
          </w:p>
        </w:tc>
        <w:tc>
          <w:tcPr>
            <w:tcW w:w="4923" w:type="dxa"/>
            <w:gridSpan w:val="4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Диапазоны напряжения</w:t>
            </w:r>
          </w:p>
        </w:tc>
      </w:tr>
      <w:tr>
        <w:trPr/>
        <w:tc>
          <w:tcPr>
            <w:tcW w:w="3015" w:type="dxa"/>
            <w:vMerge w:val="continue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07" w:type="dxa"/>
            <w:vMerge w:val="continue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ВН</w:t>
            </w:r>
          </w:p>
        </w:tc>
        <w:tc>
          <w:tcPr>
            <w:tcW w:w="12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СН-1</w:t>
            </w:r>
          </w:p>
        </w:tc>
        <w:tc>
          <w:tcPr>
            <w:tcW w:w="12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СН-2</w:t>
            </w:r>
          </w:p>
        </w:tc>
        <w:tc>
          <w:tcPr>
            <w:tcW w:w="12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НН</w:t>
            </w:r>
          </w:p>
        </w:tc>
      </w:tr>
      <w:tr>
        <w:trPr/>
        <w:tc>
          <w:tcPr>
            <w:tcW w:w="301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одноставочный тариф</w:t>
            </w:r>
          </w:p>
        </w:tc>
        <w:tc>
          <w:tcPr>
            <w:tcW w:w="140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руб/кВтч</w:t>
            </w:r>
          </w:p>
        </w:tc>
        <w:tc>
          <w:tcPr>
            <w:tcW w:w="122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1, 40675</w:t>
            </w:r>
          </w:p>
        </w:tc>
        <w:tc>
          <w:tcPr>
            <w:tcW w:w="122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1, 65937</w:t>
            </w:r>
          </w:p>
        </w:tc>
        <w:tc>
          <w:tcPr>
            <w:tcW w:w="122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2, 16523</w:t>
            </w:r>
          </w:p>
        </w:tc>
        <w:tc>
          <w:tcPr>
            <w:tcW w:w="124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bottom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2, 44284</w:t>
            </w:r>
          </w:p>
        </w:tc>
      </w:tr>
    </w:tbl>
    <w:p>
      <w:pPr>
        <w:pStyle w:val="Style17"/>
        <w:rPr/>
      </w:pPr>
      <w:r>
        <w:rPr/>
        <w:br/>
        <w:t>Тсн – сбытовая надбавка АО «Ульяновскэнерго», утвержденная приказом Министерства экономики Ульяновской области №06-495 от 17 декабря 2010 года (таблица 2);</w:t>
        <w:br/>
        <w:t xml:space="preserve">Тинфр – тариф на услуги по оперативно-диспетчерскому управлению в электроэнергетике и иные услуги являются неотъемлемой частью процесса снабжения электрической энергией потребителей, включает в себя тариф на услуги ОАО «АТС», тариф на услуги ОАО «Системный оператор ЕЭС» и тариф на услуги ЗАО «ЦФР» (таблица 2); </w:t>
        <w:br/>
      </w:r>
      <w:r>
        <w:br w:type="page"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  <w:t>Таблица 2</w:t>
      </w:r>
    </w:p>
    <w:p>
      <w:pPr>
        <w:pStyle w:val="Style17"/>
        <w:spacing w:before="0" w:after="0"/>
        <w:rPr/>
      </w:pPr>
      <w:r>
        <w:rPr/>
      </w:r>
    </w:p>
    <w:tbl>
      <w:tblPr>
        <w:tblW w:w="10127" w:type="dxa"/>
        <w:jc w:val="left"/>
        <w:tblInd w:w="0" w:type="dxa"/>
        <w:tblBorders>
          <w:top w:val="single" w:sz="6" w:space="0" w:color="808080"/>
          <w:left w:val="single" w:sz="6" w:space="0" w:color="808080"/>
          <w:bottom w:val="single" w:sz="2" w:space="0" w:color="808080"/>
          <w:right w:val="single" w:sz="6" w:space="0" w:color="808080"/>
          <w:insideH w:val="single" w:sz="2" w:space="0" w:color="808080"/>
          <w:insideV w:val="single" w:sz="6" w:space="0" w:color="808080"/>
        </w:tblBorders>
        <w:tblCellMar>
          <w:top w:w="28" w:type="dxa"/>
          <w:left w:w="20" w:type="dxa"/>
          <w:bottom w:w="28" w:type="dxa"/>
          <w:right w:w="28" w:type="dxa"/>
        </w:tblCellMar>
      </w:tblPr>
      <w:tblGrid>
        <w:gridCol w:w="3326"/>
        <w:gridCol w:w="4107"/>
        <w:gridCol w:w="1257"/>
        <w:gridCol w:w="1437"/>
      </w:tblGrid>
      <w:tr>
        <w:trPr/>
        <w:tc>
          <w:tcPr>
            <w:tcW w:w="332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br/>
              <w:t>Сбытовая надбавка АО "Ульяновскэнерго"</w:t>
            </w:r>
          </w:p>
        </w:tc>
        <w:tc>
          <w:tcPr>
            <w:tcW w:w="410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Приказ Министерства экономики</w:t>
            </w:r>
          </w:p>
          <w:p>
            <w:pPr>
              <w:pStyle w:val="Style21"/>
              <w:spacing w:before="0" w:after="283"/>
              <w:jc w:val="center"/>
              <w:rPr/>
            </w:pPr>
            <w:r>
              <w:rPr/>
              <w:t>Ульяновской области</w:t>
              <w:br/>
              <w:t>№06-495 от 17.12.2010</w:t>
            </w:r>
          </w:p>
        </w:tc>
        <w:tc>
          <w:tcPr>
            <w:tcW w:w="125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руб/кВтч</w:t>
            </w:r>
          </w:p>
        </w:tc>
        <w:tc>
          <w:tcPr>
            <w:tcW w:w="143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0,144000</w:t>
            </w:r>
          </w:p>
        </w:tc>
      </w:tr>
      <w:tr>
        <w:trPr/>
        <w:tc>
          <w:tcPr>
            <w:tcW w:w="332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Тариф на услуги ОАО "АТС"</w:t>
            </w:r>
          </w:p>
        </w:tc>
        <w:tc>
          <w:tcPr>
            <w:tcW w:w="41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Приказ ФСТ № 305-э/1 от 16.12.2010</w:t>
            </w:r>
          </w:p>
        </w:tc>
        <w:tc>
          <w:tcPr>
            <w:tcW w:w="12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руб/кВтч</w:t>
            </w:r>
          </w:p>
        </w:tc>
        <w:tc>
          <w:tcPr>
            <w:tcW w:w="14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0,000696</w:t>
            </w:r>
          </w:p>
        </w:tc>
      </w:tr>
      <w:tr>
        <w:trPr/>
        <w:tc>
          <w:tcPr>
            <w:tcW w:w="332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Тариф на услуги ОАО</w:t>
              <w:br/>
              <w:t>"Системный оператор ЕЭС"</w:t>
            </w:r>
          </w:p>
        </w:tc>
        <w:tc>
          <w:tcPr>
            <w:tcW w:w="41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Приказ ФСТ № 396-э/1 от 07.12.2010</w:t>
            </w:r>
          </w:p>
        </w:tc>
        <w:tc>
          <w:tcPr>
            <w:tcW w:w="12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руб/кВтч</w:t>
            </w:r>
          </w:p>
        </w:tc>
        <w:tc>
          <w:tcPr>
            <w:tcW w:w="14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0,002178</w:t>
            </w:r>
          </w:p>
        </w:tc>
      </w:tr>
      <w:tr>
        <w:trPr/>
        <w:tc>
          <w:tcPr>
            <w:tcW w:w="332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Тариф на услуги ЗАО "ЦФР"</w:t>
            </w:r>
          </w:p>
        </w:tc>
        <w:tc>
          <w:tcPr>
            <w:tcW w:w="41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rPr/>
            </w:pPr>
            <w:r>
              <w:rPr/>
              <w:t> </w:t>
            </w:r>
          </w:p>
        </w:tc>
        <w:tc>
          <w:tcPr>
            <w:tcW w:w="12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руб/кВтч</w:t>
            </w:r>
          </w:p>
        </w:tc>
        <w:tc>
          <w:tcPr>
            <w:tcW w:w="14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0,000239</w:t>
            </w:r>
          </w:p>
        </w:tc>
      </w:tr>
      <w:tr>
        <w:trPr/>
        <w:tc>
          <w:tcPr>
            <w:tcW w:w="332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ИТОГО</w:t>
            </w:r>
          </w:p>
        </w:tc>
        <w:tc>
          <w:tcPr>
            <w:tcW w:w="410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rPr/>
            </w:pPr>
            <w:r>
              <w:rPr/>
              <w:t> </w:t>
            </w:r>
          </w:p>
        </w:tc>
        <w:tc>
          <w:tcPr>
            <w:tcW w:w="125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rPr/>
            </w:pPr>
            <w:r>
              <w:rPr/>
              <w:t> </w:t>
            </w:r>
          </w:p>
        </w:tc>
        <w:tc>
          <w:tcPr>
            <w:tcW w:w="143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83"/>
              <w:jc w:val="center"/>
              <w:rPr/>
            </w:pPr>
            <w:r>
              <w:rPr/>
              <w:t>0,147113</w:t>
            </w:r>
          </w:p>
        </w:tc>
      </w:tr>
    </w:tbl>
    <w:p>
      <w:pPr>
        <w:pStyle w:val="Style17"/>
        <w:rPr/>
      </w:pPr>
      <w:r>
        <w:rPr/>
      </w:r>
    </w:p>
    <w:p>
      <w:pPr>
        <w:pStyle w:val="Style17"/>
        <w:rPr/>
      </w:pPr>
      <w:r>
        <w:rPr/>
        <w:t xml:space="preserve">Татс – средневзвешенная свободная цена покупки на оптовом рынке рассчитывается администратором торговой системы оптового рынка (ОАО «АТС») по окончанию расчетного периода и публикуется на сайте </w:t>
      </w:r>
      <w:hyperlink r:id="rId3">
        <w:r>
          <w:rPr>
            <w:rStyle w:val="Style13"/>
          </w:rPr>
          <w:t>www.atsenergo.ru</w:t>
        </w:r>
      </w:hyperlink>
      <w:r>
        <w:rPr/>
        <w:t xml:space="preserve"> в разделе Результаты торогов/Ценовые параметры розничного рынка.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6"/>
    <w:next w:val="Style17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Выделение"/>
    <w:qFormat/>
    <w:rPr>
      <w:i/>
      <w:i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tsenergo.ru/" TargetMode="External"/><Relationship Id="rId3" Type="http://schemas.openxmlformats.org/officeDocument/2006/relationships/hyperlink" Target="http://www.atsenerg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LibreOffice/6.0.3.2$Windows_X86_64 LibreOffice_project/8f48d515416608e3a835360314dac7e47fd0b821</Application>
  <Pages>2</Pages>
  <Words>333</Words>
  <Characters>2225</Characters>
  <CharactersWithSpaces>2535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2023-02-01T16:16:38Z</dcterms:created>
  <dc:creator/>
  <dc:description/>
  <dc:language>ru-RU</dc:language>
  <cp:lastModifiedBy/>
  <dcterms:modified xsi:type="dcterms:W3CDTF">2023-02-01T16:17:48Z</dcterms:modified>
  <cp:revision>1</cp:revision>
  <dc:subject/>
  <dc:title/>
</cp:coreProperties>
</file>